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ind w:firstLine="964"/>
        <w:jc w:val="center"/>
        <w:rPr>
          <w:b/>
          <w:bCs/>
          <w:kern w:val="0"/>
          <w:sz w:val="48"/>
          <w:szCs w:val="48"/>
          <w:lang w:val="zh-CN"/>
        </w:rPr>
      </w:pPr>
      <w:bookmarkStart w:id="0" w:name="_Toc334176628"/>
    </w:p>
    <w:p>
      <w:pPr>
        <w:ind w:firstLine="480"/>
        <w:rPr>
          <w:lang w:val="zh-CN"/>
        </w:rPr>
      </w:pPr>
    </w:p>
    <w:p>
      <w:pPr>
        <w:pStyle w:val="2"/>
        <w:rPr>
          <w:lang w:val="zh-CN"/>
        </w:rPr>
      </w:pPr>
    </w:p>
    <w:p>
      <w:pPr>
        <w:pStyle w:val="6"/>
        <w:rPr>
          <w:rFonts w:ascii="Times New Roman" w:hAnsi="Times New Roman"/>
          <w:lang w:val="zh-CN"/>
        </w:rPr>
      </w:pPr>
    </w:p>
    <w:p>
      <w:pPr>
        <w:pStyle w:val="2"/>
        <w:rPr>
          <w:lang w:val="zh-CN"/>
        </w:rPr>
      </w:pPr>
    </w:p>
    <w:p>
      <w:pPr>
        <w:spacing w:line="300" w:lineRule="auto"/>
        <w:ind w:firstLine="0" w:firstLineChars="0"/>
        <w:jc w:val="center"/>
        <w:rPr>
          <w:sz w:val="44"/>
          <w:szCs w:val="44"/>
        </w:rPr>
      </w:pPr>
      <w:r>
        <w:rPr>
          <w:rFonts w:eastAsia="黑体"/>
          <w:b/>
          <w:bCs/>
          <w:sz w:val="44"/>
          <w:szCs w:val="44"/>
          <w:lang w:val="zh-CN"/>
        </w:rPr>
        <w:t>沈阳造币有限公司彩喷机十台购置建设项目</w:t>
      </w:r>
    </w:p>
    <w:p>
      <w:pPr>
        <w:spacing w:before="480" w:beforeLines="200" w:line="300" w:lineRule="auto"/>
        <w:ind w:firstLine="0" w:firstLineChars="0"/>
        <w:jc w:val="center"/>
        <w:rPr>
          <w:rFonts w:eastAsia="黑体"/>
          <w:b/>
          <w:spacing w:val="20"/>
          <w:kern w:val="0"/>
          <w:sz w:val="48"/>
          <w:szCs w:val="48"/>
          <w:lang w:bidi="en-US"/>
        </w:rPr>
      </w:pPr>
      <w:r>
        <w:rPr>
          <w:rFonts w:eastAsia="黑体"/>
          <w:b/>
          <w:bCs/>
          <w:sz w:val="44"/>
          <w:szCs w:val="44"/>
        </w:rPr>
        <w:t>竣工环境保护验收</w:t>
      </w:r>
      <w:r>
        <w:rPr>
          <w:rFonts w:hint="eastAsia" w:eastAsia="黑体"/>
          <w:b/>
          <w:bCs/>
          <w:sz w:val="44"/>
          <w:szCs w:val="44"/>
        </w:rPr>
        <w:t>监测</w:t>
      </w:r>
      <w:r>
        <w:rPr>
          <w:rFonts w:eastAsia="黑体"/>
          <w:b/>
          <w:bCs/>
          <w:sz w:val="44"/>
          <w:szCs w:val="44"/>
        </w:rPr>
        <w:t>报告</w:t>
      </w:r>
    </w:p>
    <w:p>
      <w:pPr>
        <w:autoSpaceDE w:val="0"/>
        <w:autoSpaceDN w:val="0"/>
        <w:ind w:firstLine="0" w:firstLineChars="0"/>
        <w:jc w:val="center"/>
        <w:rPr>
          <w:b/>
          <w:sz w:val="32"/>
          <w:szCs w:val="32"/>
        </w:rPr>
      </w:pPr>
    </w:p>
    <w:p>
      <w:pPr>
        <w:autoSpaceDE w:val="0"/>
        <w:autoSpaceDN w:val="0"/>
        <w:ind w:firstLine="0" w:firstLineChars="0"/>
        <w:rPr>
          <w:szCs w:val="21"/>
        </w:rPr>
      </w:pPr>
      <w:r>
        <w:rPr>
          <w:szCs w:val="21"/>
        </w:rPr>
        <w:t xml:space="preserve">   </w:t>
      </w:r>
    </w:p>
    <w:p>
      <w:pPr>
        <w:autoSpaceDE w:val="0"/>
        <w:autoSpaceDN w:val="0"/>
        <w:ind w:firstLine="0" w:firstLineChars="0"/>
        <w:rPr>
          <w:szCs w:val="21"/>
        </w:rPr>
      </w:pPr>
    </w:p>
    <w:p>
      <w:pPr>
        <w:pStyle w:val="40"/>
        <w:ind w:firstLine="0" w:firstLineChars="0"/>
      </w:pPr>
    </w:p>
    <w:p>
      <w:pPr>
        <w:pStyle w:val="40"/>
        <w:ind w:firstLine="0" w:firstLineChars="0"/>
      </w:pPr>
    </w:p>
    <w:p>
      <w:pPr>
        <w:pStyle w:val="40"/>
        <w:ind w:firstLine="0" w:firstLineChars="0"/>
      </w:pPr>
    </w:p>
    <w:p>
      <w:pPr>
        <w:pStyle w:val="40"/>
        <w:ind w:firstLine="0" w:firstLineChars="0"/>
      </w:pPr>
    </w:p>
    <w:p>
      <w:pPr>
        <w:pStyle w:val="40"/>
        <w:ind w:firstLine="0" w:firstLineChars="0"/>
      </w:pPr>
    </w:p>
    <w:p>
      <w:pPr>
        <w:pStyle w:val="40"/>
        <w:ind w:firstLine="0" w:firstLineChars="0"/>
      </w:pPr>
    </w:p>
    <w:p>
      <w:pPr>
        <w:pStyle w:val="40"/>
        <w:ind w:firstLine="0" w:firstLineChars="0"/>
      </w:pPr>
    </w:p>
    <w:p>
      <w:pPr>
        <w:pStyle w:val="40"/>
        <w:ind w:firstLine="0" w:firstLineChars="0"/>
      </w:pPr>
    </w:p>
    <w:p>
      <w:pPr>
        <w:pStyle w:val="40"/>
        <w:ind w:firstLine="0" w:firstLineChars="0"/>
        <w:rPr>
          <w:sz w:val="22"/>
          <w:szCs w:val="18"/>
        </w:rPr>
      </w:pPr>
    </w:p>
    <w:p>
      <w:pPr>
        <w:spacing w:before="120" w:beforeLines="50" w:after="120" w:afterLines="50"/>
        <w:ind w:firstLine="0" w:firstLineChars="0"/>
        <w:jc w:val="center"/>
        <w:rPr>
          <w:b/>
          <w:bCs/>
          <w:sz w:val="28"/>
          <w:szCs w:val="28"/>
        </w:rPr>
      </w:pPr>
      <w:r>
        <w:rPr>
          <w:b/>
          <w:bCs/>
          <w:sz w:val="28"/>
          <w:szCs w:val="28"/>
        </w:rPr>
        <w:t>建设单位：</w:t>
      </w:r>
      <w:r>
        <w:rPr>
          <w:b/>
          <w:bCs/>
          <w:spacing w:val="6"/>
          <w:sz w:val="28"/>
          <w:szCs w:val="28"/>
        </w:rPr>
        <w:t>沈阳造币有限公司</w:t>
      </w:r>
    </w:p>
    <w:p>
      <w:pPr>
        <w:spacing w:before="120" w:beforeLines="50" w:after="120" w:afterLines="50"/>
        <w:ind w:firstLine="0" w:firstLineChars="0"/>
        <w:jc w:val="center"/>
        <w:rPr>
          <w:b/>
          <w:bCs/>
          <w:sz w:val="28"/>
          <w:szCs w:val="28"/>
        </w:rPr>
      </w:pPr>
      <w:r>
        <w:rPr>
          <w:b/>
          <w:bCs/>
          <w:sz w:val="28"/>
          <w:szCs w:val="28"/>
        </w:rPr>
        <w:t>编制单位：</w:t>
      </w:r>
      <w:r>
        <w:rPr>
          <w:b/>
          <w:bCs/>
          <w:spacing w:val="6"/>
          <w:sz w:val="28"/>
          <w:szCs w:val="28"/>
        </w:rPr>
        <w:t>辽宁省环保集团辐洁生态环境有限公</w:t>
      </w:r>
      <w:r>
        <w:rPr>
          <w:b/>
          <w:bCs/>
          <w:sz w:val="28"/>
          <w:szCs w:val="28"/>
        </w:rPr>
        <w:t>司</w:t>
      </w:r>
    </w:p>
    <w:p>
      <w:pPr>
        <w:pStyle w:val="29"/>
        <w:spacing w:before="120" w:beforeLines="50" w:after="120" w:afterLines="50" w:line="360" w:lineRule="auto"/>
        <w:jc w:val="center"/>
        <w:rPr>
          <w:rFonts w:ascii="Times New Roman" w:hAnsi="Times New Roman"/>
          <w:b/>
          <w:bCs/>
          <w:sz w:val="28"/>
          <w:szCs w:val="28"/>
        </w:rPr>
      </w:pPr>
      <w:r>
        <w:rPr>
          <w:rFonts w:ascii="Times New Roman" w:hAnsi="Times New Roman"/>
          <w:b/>
          <w:bCs/>
          <w:sz w:val="28"/>
          <w:szCs w:val="28"/>
        </w:rPr>
        <w:t>二〇二</w:t>
      </w:r>
      <w:r>
        <w:rPr>
          <w:rFonts w:hint="eastAsia" w:ascii="Times New Roman" w:hAnsi="Times New Roman"/>
          <w:b/>
          <w:bCs/>
          <w:sz w:val="28"/>
          <w:szCs w:val="28"/>
        </w:rPr>
        <w:t>一</w:t>
      </w:r>
      <w:r>
        <w:rPr>
          <w:rFonts w:ascii="Times New Roman" w:hAnsi="Times New Roman"/>
          <w:b/>
          <w:bCs/>
          <w:sz w:val="28"/>
          <w:szCs w:val="28"/>
        </w:rPr>
        <w:t>年</w:t>
      </w:r>
      <w:r>
        <w:rPr>
          <w:rFonts w:hint="eastAsia" w:ascii="Times New Roman" w:hAnsi="Times New Roman"/>
          <w:b/>
          <w:bCs/>
          <w:sz w:val="28"/>
          <w:szCs w:val="28"/>
        </w:rPr>
        <w:t>九</w:t>
      </w:r>
      <w:r>
        <w:rPr>
          <w:rFonts w:ascii="Times New Roman" w:hAnsi="Times New Roman"/>
          <w:b/>
          <w:bCs/>
          <w:sz w:val="28"/>
          <w:szCs w:val="28"/>
        </w:rPr>
        <w:t>月</w:t>
      </w:r>
    </w:p>
    <w:p>
      <w:pPr>
        <w:ind w:firstLine="562"/>
        <w:rPr>
          <w:b/>
          <w:bCs/>
          <w:sz w:val="28"/>
          <w:szCs w:val="28"/>
        </w:rPr>
      </w:pPr>
      <w:r>
        <w:rPr>
          <w:b/>
          <w:bCs/>
          <w:sz w:val="28"/>
          <w:szCs w:val="28"/>
        </w:rPr>
        <w:br w:type="page"/>
      </w:r>
    </w:p>
    <w:p>
      <w:pPr>
        <w:ind w:firstLine="480"/>
      </w:pPr>
    </w:p>
    <w:p>
      <w:pPr>
        <w:ind w:firstLine="480" w:firstLineChars="0"/>
      </w:pPr>
    </w:p>
    <w:p>
      <w:pPr>
        <w:ind w:firstLine="0" w:firstLineChars="0"/>
        <w:rPr>
          <w:sz w:val="28"/>
        </w:rPr>
      </w:pPr>
      <w:r>
        <w:rPr>
          <w:b/>
          <w:bCs/>
          <w:sz w:val="28"/>
        </w:rPr>
        <w:t>建设单位法人代表（签字）:</w:t>
      </w:r>
      <w:r>
        <w:rPr>
          <w:rFonts w:hint="eastAsia"/>
          <w:sz w:val="28"/>
        </w:rPr>
        <w:t>刘志刚</w:t>
      </w:r>
    </w:p>
    <w:p>
      <w:pPr>
        <w:ind w:firstLine="0" w:firstLineChars="0"/>
        <w:rPr>
          <w:sz w:val="28"/>
        </w:rPr>
      </w:pPr>
      <w:r>
        <w:rPr>
          <w:b/>
          <w:bCs/>
          <w:sz w:val="28"/>
        </w:rPr>
        <w:t>编制单位法人代表（签字）:</w:t>
      </w:r>
      <w:r>
        <w:rPr>
          <w:sz w:val="28"/>
        </w:rPr>
        <w:t>梁吉哲</w:t>
      </w:r>
    </w:p>
    <w:p>
      <w:pPr>
        <w:ind w:firstLine="0" w:firstLineChars="0"/>
        <w:rPr>
          <w:sz w:val="28"/>
        </w:rPr>
      </w:pPr>
      <w:r>
        <w:rPr>
          <w:b/>
          <w:bCs/>
          <w:sz w:val="28"/>
        </w:rPr>
        <w:t>项目负责人：</w:t>
      </w:r>
      <w:r>
        <w:rPr>
          <w:rFonts w:hint="eastAsia"/>
          <w:b/>
          <w:bCs/>
          <w:sz w:val="28"/>
        </w:rPr>
        <w:t>代一楠</w:t>
      </w:r>
    </w:p>
    <w:p>
      <w:pPr>
        <w:ind w:firstLine="0" w:firstLineChars="0"/>
        <w:rPr>
          <w:sz w:val="28"/>
        </w:rPr>
      </w:pPr>
      <w:r>
        <w:rPr>
          <w:b/>
          <w:bCs/>
          <w:sz w:val="28"/>
        </w:rPr>
        <w:t>项目编制人：</w:t>
      </w:r>
      <w:r>
        <w:rPr>
          <w:rFonts w:hint="eastAsia"/>
          <w:b/>
          <w:bCs/>
          <w:sz w:val="28"/>
        </w:rPr>
        <w:t>代一楠</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firstLineChars="0"/>
      </w:pPr>
    </w:p>
    <w:p>
      <w:pPr>
        <w:spacing w:after="120" w:line="340" w:lineRule="exact"/>
        <w:ind w:firstLine="170" w:firstLineChars="100"/>
        <w:rPr>
          <w:spacing w:val="-20"/>
          <w:sz w:val="21"/>
        </w:rPr>
      </w:pPr>
    </w:p>
    <w:p>
      <w:pPr>
        <w:ind w:firstLine="480"/>
        <w:rPr>
          <w:szCs w:val="22"/>
        </w:rPr>
      </w:pPr>
    </w:p>
    <w:p>
      <w:pPr>
        <w:ind w:firstLine="480"/>
        <w:rPr>
          <w:szCs w:val="22"/>
        </w:rPr>
      </w:pPr>
    </w:p>
    <w:p>
      <w:pPr>
        <w:ind w:firstLine="480"/>
        <w:rPr>
          <w:szCs w:val="22"/>
        </w:rPr>
      </w:pPr>
    </w:p>
    <w:p>
      <w:pPr>
        <w:ind w:firstLine="480"/>
        <w:rPr>
          <w:szCs w:val="22"/>
        </w:rPr>
      </w:pPr>
    </w:p>
    <w:p>
      <w:pPr>
        <w:ind w:firstLine="480"/>
        <w:rPr>
          <w:szCs w:val="22"/>
        </w:rPr>
      </w:pPr>
    </w:p>
    <w:p>
      <w:pPr>
        <w:ind w:firstLine="480"/>
      </w:pPr>
    </w:p>
    <w:p>
      <w:pPr>
        <w:ind w:firstLine="480"/>
      </w:pPr>
    </w:p>
    <w:tbl>
      <w:tblPr>
        <w:tblStyle w:val="46"/>
        <w:tblW w:w="5337" w:type="pct"/>
        <w:jc w:val="center"/>
        <w:tblLayout w:type="autofit"/>
        <w:tblCellMar>
          <w:top w:w="0" w:type="dxa"/>
          <w:left w:w="108" w:type="dxa"/>
          <w:bottom w:w="0" w:type="dxa"/>
          <w:right w:w="108" w:type="dxa"/>
        </w:tblCellMar>
      </w:tblPr>
      <w:tblGrid>
        <w:gridCol w:w="4685"/>
        <w:gridCol w:w="238"/>
        <w:gridCol w:w="4687"/>
      </w:tblGrid>
      <w:tr>
        <w:tblPrEx>
          <w:tblCellMar>
            <w:top w:w="0" w:type="dxa"/>
            <w:left w:w="108" w:type="dxa"/>
            <w:bottom w:w="0" w:type="dxa"/>
            <w:right w:w="108" w:type="dxa"/>
          </w:tblCellMar>
        </w:tblPrEx>
        <w:trPr>
          <w:jc w:val="center"/>
        </w:trPr>
        <w:tc>
          <w:tcPr>
            <w:tcW w:w="4686" w:type="dxa"/>
          </w:tcPr>
          <w:p>
            <w:pPr>
              <w:ind w:left="1205" w:hanging="1205" w:hangingChars="500"/>
              <w:jc w:val="left"/>
            </w:pPr>
            <w:r>
              <w:rPr>
                <w:b/>
                <w:bCs/>
              </w:rPr>
              <w:t>建设单位</w:t>
            </w:r>
            <w:r>
              <w:t>：沈阳造币有限公司（盖章）</w:t>
            </w:r>
          </w:p>
          <w:p>
            <w:pPr>
              <w:ind w:firstLine="0" w:firstLineChars="0"/>
            </w:pPr>
            <w:r>
              <w:rPr>
                <w:b/>
                <w:bCs/>
              </w:rPr>
              <w:t>电话</w:t>
            </w:r>
            <w:r>
              <w:t>：18624034317</w:t>
            </w:r>
          </w:p>
          <w:p>
            <w:pPr>
              <w:ind w:firstLine="0" w:firstLineChars="0"/>
            </w:pPr>
            <w:r>
              <w:rPr>
                <w:b/>
                <w:bCs/>
              </w:rPr>
              <w:t>传真</w:t>
            </w:r>
            <w:r>
              <w:t>：/</w:t>
            </w:r>
          </w:p>
          <w:p>
            <w:pPr>
              <w:ind w:firstLine="0" w:firstLineChars="0"/>
            </w:pPr>
            <w:r>
              <w:rPr>
                <w:b/>
                <w:bCs/>
              </w:rPr>
              <w:t>邮编</w:t>
            </w:r>
            <w:r>
              <w:t>：1100</w:t>
            </w:r>
            <w:r>
              <w:rPr>
                <w:rFonts w:hint="eastAsia"/>
              </w:rPr>
              <w:t>00</w:t>
            </w:r>
          </w:p>
          <w:p>
            <w:pPr>
              <w:ind w:firstLine="0" w:firstLineChars="0"/>
            </w:pPr>
            <w:r>
              <w:rPr>
                <w:b/>
                <w:bCs/>
              </w:rPr>
              <w:t>地址</w:t>
            </w:r>
            <w:r>
              <w:t>：辽宁省沈阳市大东区大东路138号</w:t>
            </w:r>
          </w:p>
        </w:tc>
        <w:tc>
          <w:tcPr>
            <w:tcW w:w="238" w:type="dxa"/>
          </w:tcPr>
          <w:p>
            <w:pPr>
              <w:ind w:firstLine="482"/>
              <w:rPr>
                <w:b/>
                <w:bCs/>
              </w:rPr>
            </w:pPr>
          </w:p>
        </w:tc>
        <w:tc>
          <w:tcPr>
            <w:tcW w:w="4687" w:type="dxa"/>
          </w:tcPr>
          <w:p>
            <w:pPr>
              <w:ind w:left="1205" w:hanging="1205" w:hangingChars="500"/>
            </w:pPr>
            <w:r>
              <w:rPr>
                <w:b/>
                <w:bCs/>
              </w:rPr>
              <w:t>编制单位</w:t>
            </w:r>
            <w:r>
              <w:t>：辽宁省环保集团辐洁生态环境有限公司（盖章）</w:t>
            </w:r>
          </w:p>
          <w:p>
            <w:pPr>
              <w:ind w:firstLine="0" w:firstLineChars="0"/>
            </w:pPr>
            <w:r>
              <w:rPr>
                <w:b/>
                <w:bCs/>
              </w:rPr>
              <w:t>电话：</w:t>
            </w:r>
            <w:r>
              <w:t>024-67983516</w:t>
            </w:r>
          </w:p>
          <w:p>
            <w:pPr>
              <w:ind w:firstLine="0" w:firstLineChars="0"/>
            </w:pPr>
            <w:r>
              <w:rPr>
                <w:b/>
                <w:bCs/>
              </w:rPr>
              <w:t>传真：</w:t>
            </w:r>
            <w:r>
              <w:t>024-67983516</w:t>
            </w:r>
          </w:p>
          <w:p>
            <w:pPr>
              <w:ind w:firstLine="0" w:firstLineChars="0"/>
            </w:pPr>
            <w:r>
              <w:rPr>
                <w:b/>
                <w:bCs/>
              </w:rPr>
              <w:t>邮编：</w:t>
            </w:r>
            <w:r>
              <w:t>110013</w:t>
            </w:r>
          </w:p>
          <w:p>
            <w:pPr>
              <w:ind w:firstLine="0" w:firstLineChars="0"/>
            </w:pPr>
            <w:r>
              <w:rPr>
                <w:b/>
                <w:bCs/>
              </w:rPr>
              <w:t>地址：</w:t>
            </w:r>
            <w:r>
              <w:t>沈阳市皇姑区崇山东路34号</w:t>
            </w:r>
          </w:p>
        </w:tc>
      </w:tr>
    </w:tbl>
    <w:p>
      <w:pPr>
        <w:pStyle w:val="40"/>
        <w:spacing w:before="72" w:after="72"/>
        <w:ind w:firstLine="480"/>
        <w:sectPr>
          <w:headerReference r:id="rId7" w:type="first"/>
          <w:footerReference r:id="rId10" w:type="first"/>
          <w:headerReference r:id="rId5" w:type="default"/>
          <w:footerReference r:id="rId8" w:type="default"/>
          <w:headerReference r:id="rId6" w:type="even"/>
          <w:footerReference r:id="rId9" w:type="even"/>
          <w:pgSz w:w="11906" w:h="16838"/>
          <w:pgMar w:top="1247" w:right="1531" w:bottom="1247" w:left="1588" w:header="851" w:footer="992" w:gutter="0"/>
          <w:pgNumType w:fmt="upperRoman" w:start="1"/>
          <w:cols w:space="720" w:num="1"/>
          <w:docGrid w:linePitch="326" w:charSpace="0"/>
        </w:sectPr>
      </w:pPr>
      <w:r>
        <w:br w:type="page"/>
      </w:r>
    </w:p>
    <w:bookmarkEnd w:id="0"/>
    <w:sdt>
      <w:sdtPr>
        <w:rPr>
          <w:rFonts w:ascii="Calibri" w:hAnsi="Calibri"/>
          <w:b/>
          <w:bCs/>
          <w:spacing w:val="-20"/>
          <w:sz w:val="21"/>
          <w:szCs w:val="32"/>
        </w:rPr>
        <w:id w:val="147477664"/>
        <w15:color w:val="DBDBDB"/>
        <w:docPartObj>
          <w:docPartGallery w:val="Table of Contents"/>
          <w:docPartUnique/>
        </w:docPartObj>
      </w:sdtPr>
      <w:sdtEndPr>
        <w:rPr>
          <w:rFonts w:ascii="Calibri" w:hAnsi="Calibri"/>
          <w:b/>
          <w:bCs/>
          <w:spacing w:val="-20"/>
          <w:sz w:val="21"/>
          <w:szCs w:val="24"/>
        </w:rPr>
      </w:sdtEndPr>
      <w:sdtContent>
        <w:p>
          <w:pPr>
            <w:spacing w:line="240" w:lineRule="auto"/>
            <w:ind w:firstLine="0" w:firstLineChars="0"/>
            <w:jc w:val="center"/>
            <w:rPr>
              <w:b/>
              <w:bCs/>
              <w:sz w:val="32"/>
              <w:szCs w:val="40"/>
            </w:rPr>
          </w:pPr>
          <w:bookmarkStart w:id="1" w:name="_Toc47431929"/>
          <w:r>
            <w:rPr>
              <w:b/>
              <w:bCs/>
              <w:sz w:val="32"/>
              <w:szCs w:val="40"/>
            </w:rPr>
            <w:t>目  录</w:t>
          </w:r>
        </w:p>
        <w:p>
          <w:pPr>
            <w:pStyle w:val="35"/>
            <w:tabs>
              <w:tab w:val="right" w:leader="dot" w:pos="8787"/>
            </w:tabs>
          </w:pPr>
          <w:r>
            <w:rPr>
              <w:b w:val="0"/>
            </w:rPr>
            <w:fldChar w:fldCharType="begin"/>
          </w:r>
          <w:r>
            <w:rPr>
              <w:b w:val="0"/>
            </w:rPr>
            <w:instrText xml:space="preserve"> TOC \o "1-2" \h \z \u </w:instrText>
          </w:r>
          <w:r>
            <w:rPr>
              <w:b w:val="0"/>
            </w:rPr>
            <w:fldChar w:fldCharType="separate"/>
          </w:r>
          <w:r>
            <w:fldChar w:fldCharType="begin"/>
          </w:r>
          <w:r>
            <w:instrText xml:space="preserve"> HYPERLINK \l "_Toc4655" </w:instrText>
          </w:r>
          <w:r>
            <w:fldChar w:fldCharType="separate"/>
          </w:r>
          <w:r>
            <w:rPr>
              <w:snapToGrid w:val="0"/>
              <w:kern w:val="0"/>
            </w:rPr>
            <w:t>1  验收项目概况</w:t>
          </w:r>
          <w:r>
            <w:tab/>
          </w:r>
          <w:r>
            <w:fldChar w:fldCharType="begin"/>
          </w:r>
          <w:r>
            <w:instrText xml:space="preserve"> PAGEREF _Toc4655 \h </w:instrText>
          </w:r>
          <w:r>
            <w:fldChar w:fldCharType="separate"/>
          </w:r>
          <w:r>
            <w:t>3</w:t>
          </w:r>
          <w:r>
            <w:fldChar w:fldCharType="end"/>
          </w:r>
          <w:r>
            <w:fldChar w:fldCharType="end"/>
          </w:r>
        </w:p>
        <w:p>
          <w:pPr>
            <w:pStyle w:val="35"/>
            <w:tabs>
              <w:tab w:val="right" w:leader="dot" w:pos="8787"/>
            </w:tabs>
          </w:pPr>
          <w:r>
            <w:fldChar w:fldCharType="begin"/>
          </w:r>
          <w:r>
            <w:instrText xml:space="preserve"> HYPERLINK \l "_Toc28910" </w:instrText>
          </w:r>
          <w:r>
            <w:fldChar w:fldCharType="separate"/>
          </w:r>
          <w:r>
            <w:t>2  验收依据</w:t>
          </w:r>
          <w:r>
            <w:tab/>
          </w:r>
          <w:r>
            <w:fldChar w:fldCharType="begin"/>
          </w:r>
          <w:r>
            <w:instrText xml:space="preserve"> PAGEREF _Toc28910 \h </w:instrText>
          </w:r>
          <w:r>
            <w:fldChar w:fldCharType="separate"/>
          </w:r>
          <w:r>
            <w:t>5</w:t>
          </w:r>
          <w:r>
            <w:fldChar w:fldCharType="end"/>
          </w:r>
          <w:r>
            <w:fldChar w:fldCharType="end"/>
          </w:r>
        </w:p>
        <w:p>
          <w:pPr>
            <w:pStyle w:val="42"/>
            <w:tabs>
              <w:tab w:val="right" w:leader="dot" w:pos="8787"/>
            </w:tabs>
            <w:ind w:firstLine="400"/>
          </w:pPr>
          <w:r>
            <w:fldChar w:fldCharType="begin"/>
          </w:r>
          <w:r>
            <w:instrText xml:space="preserve"> HYPERLINK \l "_Toc7052" </w:instrText>
          </w:r>
          <w:r>
            <w:fldChar w:fldCharType="separate"/>
          </w:r>
          <w:r>
            <w:t>2.1  建设项目环境保护相关法律、法规和规章制度</w:t>
          </w:r>
          <w:r>
            <w:tab/>
          </w:r>
          <w:r>
            <w:fldChar w:fldCharType="begin"/>
          </w:r>
          <w:r>
            <w:instrText xml:space="preserve"> PAGEREF _Toc7052 \h </w:instrText>
          </w:r>
          <w:r>
            <w:fldChar w:fldCharType="separate"/>
          </w:r>
          <w:r>
            <w:t>5</w:t>
          </w:r>
          <w:r>
            <w:fldChar w:fldCharType="end"/>
          </w:r>
          <w:r>
            <w:fldChar w:fldCharType="end"/>
          </w:r>
        </w:p>
        <w:p>
          <w:pPr>
            <w:pStyle w:val="42"/>
            <w:tabs>
              <w:tab w:val="right" w:leader="dot" w:pos="8787"/>
            </w:tabs>
            <w:ind w:firstLine="400"/>
          </w:pPr>
          <w:r>
            <w:fldChar w:fldCharType="begin"/>
          </w:r>
          <w:r>
            <w:instrText xml:space="preserve"> HYPERLINK \l "_Toc6737" </w:instrText>
          </w:r>
          <w:r>
            <w:fldChar w:fldCharType="separate"/>
          </w:r>
          <w:r>
            <w:t>2.2  建设项目竣工环境保护验收技术规范</w:t>
          </w:r>
          <w:r>
            <w:tab/>
          </w:r>
          <w:r>
            <w:fldChar w:fldCharType="begin"/>
          </w:r>
          <w:r>
            <w:instrText xml:space="preserve"> PAGEREF _Toc6737 \h </w:instrText>
          </w:r>
          <w:r>
            <w:fldChar w:fldCharType="separate"/>
          </w:r>
          <w:r>
            <w:t>5</w:t>
          </w:r>
          <w:r>
            <w:fldChar w:fldCharType="end"/>
          </w:r>
          <w:r>
            <w:fldChar w:fldCharType="end"/>
          </w:r>
        </w:p>
        <w:p>
          <w:pPr>
            <w:pStyle w:val="42"/>
            <w:tabs>
              <w:tab w:val="right" w:leader="dot" w:pos="8787"/>
            </w:tabs>
            <w:ind w:firstLine="400"/>
          </w:pPr>
          <w:r>
            <w:fldChar w:fldCharType="begin"/>
          </w:r>
          <w:r>
            <w:instrText xml:space="preserve"> HYPERLINK \l "_Toc26774" </w:instrText>
          </w:r>
          <w:r>
            <w:fldChar w:fldCharType="separate"/>
          </w:r>
          <w:r>
            <w:t>2.3  建设项目环境影响报告书（表）及其审批部门审批决定</w:t>
          </w:r>
          <w:r>
            <w:tab/>
          </w:r>
          <w:r>
            <w:fldChar w:fldCharType="begin"/>
          </w:r>
          <w:r>
            <w:instrText xml:space="preserve"> PAGEREF _Toc26774 \h </w:instrText>
          </w:r>
          <w:r>
            <w:fldChar w:fldCharType="separate"/>
          </w:r>
          <w:r>
            <w:t>6</w:t>
          </w:r>
          <w:r>
            <w:fldChar w:fldCharType="end"/>
          </w:r>
          <w:r>
            <w:fldChar w:fldCharType="end"/>
          </w:r>
        </w:p>
        <w:p>
          <w:pPr>
            <w:pStyle w:val="42"/>
            <w:tabs>
              <w:tab w:val="right" w:leader="dot" w:pos="8787"/>
            </w:tabs>
            <w:ind w:firstLine="400"/>
          </w:pPr>
          <w:r>
            <w:fldChar w:fldCharType="begin"/>
          </w:r>
          <w:r>
            <w:instrText xml:space="preserve"> HYPERLINK \l "_Toc2749" </w:instrText>
          </w:r>
          <w:r>
            <w:fldChar w:fldCharType="separate"/>
          </w:r>
          <w:r>
            <w:t>2.4  其他相关文件</w:t>
          </w:r>
          <w:r>
            <w:tab/>
          </w:r>
          <w:r>
            <w:fldChar w:fldCharType="begin"/>
          </w:r>
          <w:r>
            <w:instrText xml:space="preserve"> PAGEREF _Toc2749 \h </w:instrText>
          </w:r>
          <w:r>
            <w:fldChar w:fldCharType="separate"/>
          </w:r>
          <w:r>
            <w:t>6</w:t>
          </w:r>
          <w:r>
            <w:fldChar w:fldCharType="end"/>
          </w:r>
          <w:r>
            <w:fldChar w:fldCharType="end"/>
          </w:r>
        </w:p>
        <w:p>
          <w:pPr>
            <w:pStyle w:val="35"/>
            <w:tabs>
              <w:tab w:val="right" w:leader="dot" w:pos="8787"/>
            </w:tabs>
          </w:pPr>
          <w:r>
            <w:fldChar w:fldCharType="begin"/>
          </w:r>
          <w:r>
            <w:instrText xml:space="preserve"> HYPERLINK \l "_Toc30551" </w:instrText>
          </w:r>
          <w:r>
            <w:fldChar w:fldCharType="separate"/>
          </w:r>
          <w:r>
            <w:t>3  项目建设情况</w:t>
          </w:r>
          <w:r>
            <w:tab/>
          </w:r>
          <w:r>
            <w:fldChar w:fldCharType="begin"/>
          </w:r>
          <w:r>
            <w:instrText xml:space="preserve"> PAGEREF _Toc30551 \h </w:instrText>
          </w:r>
          <w:r>
            <w:fldChar w:fldCharType="separate"/>
          </w:r>
          <w:r>
            <w:t>7</w:t>
          </w:r>
          <w:r>
            <w:fldChar w:fldCharType="end"/>
          </w:r>
          <w:r>
            <w:fldChar w:fldCharType="end"/>
          </w:r>
        </w:p>
        <w:p>
          <w:pPr>
            <w:pStyle w:val="42"/>
            <w:tabs>
              <w:tab w:val="right" w:leader="dot" w:pos="8787"/>
            </w:tabs>
            <w:ind w:firstLine="400"/>
          </w:pPr>
          <w:r>
            <w:fldChar w:fldCharType="begin"/>
          </w:r>
          <w:r>
            <w:instrText xml:space="preserve"> HYPERLINK \l "_Toc2701" </w:instrText>
          </w:r>
          <w:r>
            <w:fldChar w:fldCharType="separate"/>
          </w:r>
          <w:r>
            <w:t>3.1  地理位置及平面布置</w:t>
          </w:r>
          <w:r>
            <w:tab/>
          </w:r>
          <w:r>
            <w:fldChar w:fldCharType="begin"/>
          </w:r>
          <w:r>
            <w:instrText xml:space="preserve"> PAGEREF _Toc2701 \h </w:instrText>
          </w:r>
          <w:r>
            <w:fldChar w:fldCharType="separate"/>
          </w:r>
          <w:r>
            <w:t>7</w:t>
          </w:r>
          <w:r>
            <w:fldChar w:fldCharType="end"/>
          </w:r>
          <w:r>
            <w:fldChar w:fldCharType="end"/>
          </w:r>
        </w:p>
        <w:p>
          <w:pPr>
            <w:pStyle w:val="42"/>
            <w:tabs>
              <w:tab w:val="right" w:leader="dot" w:pos="8787"/>
            </w:tabs>
            <w:ind w:firstLine="400"/>
          </w:pPr>
          <w:r>
            <w:fldChar w:fldCharType="begin"/>
          </w:r>
          <w:r>
            <w:instrText xml:space="preserve"> HYPERLINK \l "_Toc3920" </w:instrText>
          </w:r>
          <w:r>
            <w:fldChar w:fldCharType="separate"/>
          </w:r>
          <w:r>
            <w:t>3.2  建设内容</w:t>
          </w:r>
          <w:r>
            <w:tab/>
          </w:r>
          <w:r>
            <w:fldChar w:fldCharType="begin"/>
          </w:r>
          <w:r>
            <w:instrText xml:space="preserve"> PAGEREF _Toc3920 \h </w:instrText>
          </w:r>
          <w:r>
            <w:fldChar w:fldCharType="separate"/>
          </w:r>
          <w:r>
            <w:t>8</w:t>
          </w:r>
          <w:r>
            <w:fldChar w:fldCharType="end"/>
          </w:r>
          <w:r>
            <w:fldChar w:fldCharType="end"/>
          </w:r>
        </w:p>
        <w:p>
          <w:pPr>
            <w:pStyle w:val="42"/>
            <w:tabs>
              <w:tab w:val="right" w:leader="dot" w:pos="8787"/>
            </w:tabs>
            <w:ind w:firstLine="400"/>
          </w:pPr>
          <w:r>
            <w:fldChar w:fldCharType="begin"/>
          </w:r>
          <w:r>
            <w:instrText xml:space="preserve"> HYPERLINK \l "_Toc10632" </w:instrText>
          </w:r>
          <w:r>
            <w:fldChar w:fldCharType="separate"/>
          </w:r>
          <w:r>
            <w:t>3.3  主要生产设备</w:t>
          </w:r>
          <w:r>
            <w:tab/>
          </w:r>
          <w:r>
            <w:fldChar w:fldCharType="begin"/>
          </w:r>
          <w:r>
            <w:instrText xml:space="preserve"> PAGEREF _Toc10632 \h </w:instrText>
          </w:r>
          <w:r>
            <w:fldChar w:fldCharType="separate"/>
          </w:r>
          <w:r>
            <w:t>9</w:t>
          </w:r>
          <w:r>
            <w:fldChar w:fldCharType="end"/>
          </w:r>
          <w:r>
            <w:fldChar w:fldCharType="end"/>
          </w:r>
        </w:p>
        <w:p>
          <w:pPr>
            <w:pStyle w:val="42"/>
            <w:tabs>
              <w:tab w:val="right" w:leader="dot" w:pos="8787"/>
            </w:tabs>
            <w:ind w:firstLine="400"/>
          </w:pPr>
          <w:r>
            <w:fldChar w:fldCharType="begin"/>
          </w:r>
          <w:r>
            <w:instrText xml:space="preserve"> HYPERLINK \l "_Toc30286" </w:instrText>
          </w:r>
          <w:r>
            <w:fldChar w:fldCharType="separate"/>
          </w:r>
          <w:r>
            <w:t>3.4  主要原辅材料</w:t>
          </w:r>
          <w:r>
            <w:tab/>
          </w:r>
          <w:r>
            <w:fldChar w:fldCharType="begin"/>
          </w:r>
          <w:r>
            <w:instrText xml:space="preserve"> PAGEREF _Toc30286 \h </w:instrText>
          </w:r>
          <w:r>
            <w:fldChar w:fldCharType="separate"/>
          </w:r>
          <w:r>
            <w:t>10</w:t>
          </w:r>
          <w:r>
            <w:fldChar w:fldCharType="end"/>
          </w:r>
          <w:r>
            <w:fldChar w:fldCharType="end"/>
          </w:r>
        </w:p>
        <w:p>
          <w:pPr>
            <w:pStyle w:val="42"/>
            <w:tabs>
              <w:tab w:val="right" w:leader="dot" w:pos="8787"/>
            </w:tabs>
            <w:ind w:firstLine="400"/>
          </w:pPr>
          <w:r>
            <w:fldChar w:fldCharType="begin"/>
          </w:r>
          <w:r>
            <w:instrText xml:space="preserve"> HYPERLINK \l "_Toc16095" </w:instrText>
          </w:r>
          <w:r>
            <w:fldChar w:fldCharType="separate"/>
          </w:r>
          <w:r>
            <w:t>3.5  工作制度及劳动定员</w:t>
          </w:r>
          <w:r>
            <w:tab/>
          </w:r>
          <w:r>
            <w:fldChar w:fldCharType="begin"/>
          </w:r>
          <w:r>
            <w:instrText xml:space="preserve"> PAGEREF _Toc16095 \h </w:instrText>
          </w:r>
          <w:r>
            <w:fldChar w:fldCharType="separate"/>
          </w:r>
          <w:r>
            <w:t>10</w:t>
          </w:r>
          <w:r>
            <w:fldChar w:fldCharType="end"/>
          </w:r>
          <w:r>
            <w:fldChar w:fldCharType="end"/>
          </w:r>
        </w:p>
        <w:p>
          <w:pPr>
            <w:pStyle w:val="42"/>
            <w:tabs>
              <w:tab w:val="right" w:leader="dot" w:pos="8787"/>
            </w:tabs>
            <w:ind w:firstLine="400"/>
          </w:pPr>
          <w:r>
            <w:fldChar w:fldCharType="begin"/>
          </w:r>
          <w:r>
            <w:instrText xml:space="preserve"> HYPERLINK \l "_Toc5358" </w:instrText>
          </w:r>
          <w:r>
            <w:fldChar w:fldCharType="separate"/>
          </w:r>
          <w:r>
            <w:t xml:space="preserve">3.6  </w:t>
          </w:r>
          <w:r>
            <w:rPr>
              <w:rFonts w:hint="eastAsia"/>
            </w:rPr>
            <w:t>公用工程</w:t>
          </w:r>
          <w:r>
            <w:tab/>
          </w:r>
          <w:r>
            <w:fldChar w:fldCharType="begin"/>
          </w:r>
          <w:r>
            <w:instrText xml:space="preserve"> PAGEREF _Toc5358 \h </w:instrText>
          </w:r>
          <w:r>
            <w:fldChar w:fldCharType="separate"/>
          </w:r>
          <w:r>
            <w:t>10</w:t>
          </w:r>
          <w:r>
            <w:fldChar w:fldCharType="end"/>
          </w:r>
          <w:r>
            <w:fldChar w:fldCharType="end"/>
          </w:r>
        </w:p>
        <w:p>
          <w:pPr>
            <w:pStyle w:val="42"/>
            <w:tabs>
              <w:tab w:val="right" w:leader="dot" w:pos="8787"/>
            </w:tabs>
            <w:ind w:firstLine="400"/>
          </w:pPr>
          <w:r>
            <w:fldChar w:fldCharType="begin"/>
          </w:r>
          <w:r>
            <w:instrText xml:space="preserve"> HYPERLINK \l "_Toc3625" </w:instrText>
          </w:r>
          <w:r>
            <w:fldChar w:fldCharType="separate"/>
          </w:r>
          <w:r>
            <w:t>3.7  生产工艺</w:t>
          </w:r>
          <w:r>
            <w:tab/>
          </w:r>
          <w:r>
            <w:fldChar w:fldCharType="begin"/>
          </w:r>
          <w:r>
            <w:instrText xml:space="preserve"> PAGEREF _Toc3625 \h </w:instrText>
          </w:r>
          <w:r>
            <w:fldChar w:fldCharType="separate"/>
          </w:r>
          <w:r>
            <w:t>11</w:t>
          </w:r>
          <w:r>
            <w:fldChar w:fldCharType="end"/>
          </w:r>
          <w:r>
            <w:fldChar w:fldCharType="end"/>
          </w:r>
        </w:p>
        <w:p>
          <w:pPr>
            <w:pStyle w:val="42"/>
            <w:tabs>
              <w:tab w:val="right" w:leader="dot" w:pos="8787"/>
            </w:tabs>
            <w:ind w:firstLine="400"/>
          </w:pPr>
          <w:r>
            <w:fldChar w:fldCharType="begin"/>
          </w:r>
          <w:r>
            <w:instrText xml:space="preserve"> HYPERLINK \l "_Toc20531" </w:instrText>
          </w:r>
          <w:r>
            <w:fldChar w:fldCharType="separate"/>
          </w:r>
          <w:r>
            <w:t>3.8  项目变动情况</w:t>
          </w:r>
          <w:r>
            <w:tab/>
          </w:r>
          <w:r>
            <w:fldChar w:fldCharType="begin"/>
          </w:r>
          <w:r>
            <w:instrText xml:space="preserve"> PAGEREF _Toc20531 \h </w:instrText>
          </w:r>
          <w:r>
            <w:fldChar w:fldCharType="separate"/>
          </w:r>
          <w:r>
            <w:t>13</w:t>
          </w:r>
          <w:r>
            <w:fldChar w:fldCharType="end"/>
          </w:r>
          <w:r>
            <w:fldChar w:fldCharType="end"/>
          </w:r>
        </w:p>
        <w:p>
          <w:pPr>
            <w:pStyle w:val="35"/>
            <w:tabs>
              <w:tab w:val="right" w:leader="dot" w:pos="8787"/>
            </w:tabs>
          </w:pPr>
          <w:r>
            <w:fldChar w:fldCharType="begin"/>
          </w:r>
          <w:r>
            <w:instrText xml:space="preserve"> HYPERLINK \l "_Toc24854" </w:instrText>
          </w:r>
          <w:r>
            <w:fldChar w:fldCharType="separate"/>
          </w:r>
          <w:r>
            <w:t>4  环境保护设施</w:t>
          </w:r>
          <w:r>
            <w:tab/>
          </w:r>
          <w:r>
            <w:fldChar w:fldCharType="begin"/>
          </w:r>
          <w:r>
            <w:instrText xml:space="preserve"> PAGEREF _Toc24854 \h </w:instrText>
          </w:r>
          <w:r>
            <w:fldChar w:fldCharType="separate"/>
          </w:r>
          <w:r>
            <w:t>16</w:t>
          </w:r>
          <w:r>
            <w:fldChar w:fldCharType="end"/>
          </w:r>
          <w:r>
            <w:fldChar w:fldCharType="end"/>
          </w:r>
        </w:p>
        <w:p>
          <w:pPr>
            <w:pStyle w:val="42"/>
            <w:tabs>
              <w:tab w:val="right" w:leader="dot" w:pos="8787"/>
            </w:tabs>
            <w:ind w:firstLine="400"/>
          </w:pPr>
          <w:r>
            <w:fldChar w:fldCharType="begin"/>
          </w:r>
          <w:r>
            <w:instrText xml:space="preserve"> HYPERLINK \l "_Toc18651" </w:instrText>
          </w:r>
          <w:r>
            <w:fldChar w:fldCharType="separate"/>
          </w:r>
          <w:r>
            <w:t>4.1  污染物治理/处置设施</w:t>
          </w:r>
          <w:r>
            <w:tab/>
          </w:r>
          <w:r>
            <w:fldChar w:fldCharType="begin"/>
          </w:r>
          <w:r>
            <w:instrText xml:space="preserve"> PAGEREF _Toc18651 \h </w:instrText>
          </w:r>
          <w:r>
            <w:fldChar w:fldCharType="separate"/>
          </w:r>
          <w:r>
            <w:t>16</w:t>
          </w:r>
          <w:r>
            <w:fldChar w:fldCharType="end"/>
          </w:r>
          <w:r>
            <w:fldChar w:fldCharType="end"/>
          </w:r>
        </w:p>
        <w:p>
          <w:pPr>
            <w:pStyle w:val="42"/>
            <w:tabs>
              <w:tab w:val="right" w:leader="dot" w:pos="8787"/>
            </w:tabs>
            <w:ind w:firstLine="400"/>
          </w:pPr>
          <w:r>
            <w:fldChar w:fldCharType="begin"/>
          </w:r>
          <w:r>
            <w:instrText xml:space="preserve"> HYPERLINK \l "_Toc9205" </w:instrText>
          </w:r>
          <w:r>
            <w:fldChar w:fldCharType="separate"/>
          </w:r>
          <w:r>
            <w:rPr>
              <w:rFonts w:hint="eastAsia"/>
            </w:rPr>
            <w:t>4.2</w:t>
          </w:r>
          <w:r>
            <w:t xml:space="preserve">  </w:t>
          </w:r>
          <w:r>
            <w:rPr>
              <w:rFonts w:hint="eastAsia"/>
            </w:rPr>
            <w:t>其他环境保护设施</w:t>
          </w:r>
          <w:r>
            <w:tab/>
          </w:r>
          <w:r>
            <w:fldChar w:fldCharType="begin"/>
          </w:r>
          <w:r>
            <w:instrText xml:space="preserve"> PAGEREF _Toc9205 \h </w:instrText>
          </w:r>
          <w:r>
            <w:fldChar w:fldCharType="separate"/>
          </w:r>
          <w:r>
            <w:t>17</w:t>
          </w:r>
          <w:r>
            <w:fldChar w:fldCharType="end"/>
          </w:r>
          <w:r>
            <w:fldChar w:fldCharType="end"/>
          </w:r>
        </w:p>
        <w:p>
          <w:pPr>
            <w:pStyle w:val="42"/>
            <w:tabs>
              <w:tab w:val="right" w:leader="dot" w:pos="8787"/>
            </w:tabs>
            <w:ind w:firstLine="400"/>
          </w:pPr>
          <w:r>
            <w:fldChar w:fldCharType="begin"/>
          </w:r>
          <w:r>
            <w:instrText xml:space="preserve"> HYPERLINK \l "_Toc30296" </w:instrText>
          </w:r>
          <w:r>
            <w:fldChar w:fldCharType="separate"/>
          </w:r>
          <w:r>
            <w:t>4.3  环保设施投资及“三同时”落实情况</w:t>
          </w:r>
          <w:r>
            <w:tab/>
          </w:r>
          <w:r>
            <w:fldChar w:fldCharType="begin"/>
          </w:r>
          <w:r>
            <w:instrText xml:space="preserve"> PAGEREF _Toc30296 \h </w:instrText>
          </w:r>
          <w:r>
            <w:fldChar w:fldCharType="separate"/>
          </w:r>
          <w:r>
            <w:t>18</w:t>
          </w:r>
          <w:r>
            <w:fldChar w:fldCharType="end"/>
          </w:r>
          <w:r>
            <w:fldChar w:fldCharType="end"/>
          </w:r>
        </w:p>
        <w:p>
          <w:pPr>
            <w:pStyle w:val="35"/>
            <w:tabs>
              <w:tab w:val="right" w:leader="dot" w:pos="8787"/>
            </w:tabs>
          </w:pPr>
          <w:r>
            <w:fldChar w:fldCharType="begin"/>
          </w:r>
          <w:r>
            <w:instrText xml:space="preserve"> HYPERLINK \l "_Toc17225" </w:instrText>
          </w:r>
          <w:r>
            <w:fldChar w:fldCharType="separate"/>
          </w:r>
          <w:r>
            <w:t>5  建设项目环境影响报告表的主要结论与建议及审批部门决定</w:t>
          </w:r>
          <w:r>
            <w:tab/>
          </w:r>
          <w:r>
            <w:fldChar w:fldCharType="begin"/>
          </w:r>
          <w:r>
            <w:instrText xml:space="preserve"> PAGEREF _Toc17225 \h </w:instrText>
          </w:r>
          <w:r>
            <w:fldChar w:fldCharType="separate"/>
          </w:r>
          <w:r>
            <w:t>20</w:t>
          </w:r>
          <w:r>
            <w:fldChar w:fldCharType="end"/>
          </w:r>
          <w:r>
            <w:fldChar w:fldCharType="end"/>
          </w:r>
        </w:p>
        <w:p>
          <w:pPr>
            <w:pStyle w:val="42"/>
            <w:tabs>
              <w:tab w:val="right" w:leader="dot" w:pos="8787"/>
            </w:tabs>
            <w:ind w:firstLine="400"/>
          </w:pPr>
          <w:r>
            <w:fldChar w:fldCharType="begin"/>
          </w:r>
          <w:r>
            <w:instrText xml:space="preserve"> HYPERLINK \l "_Toc666" </w:instrText>
          </w:r>
          <w:r>
            <w:fldChar w:fldCharType="separate"/>
          </w:r>
          <w:r>
            <w:t>5.1  环境影响报告表的主要结论与建议</w:t>
          </w:r>
          <w:r>
            <w:tab/>
          </w:r>
          <w:r>
            <w:fldChar w:fldCharType="begin"/>
          </w:r>
          <w:r>
            <w:instrText xml:space="preserve"> PAGEREF _Toc666 \h </w:instrText>
          </w:r>
          <w:r>
            <w:fldChar w:fldCharType="separate"/>
          </w:r>
          <w:r>
            <w:t>20</w:t>
          </w:r>
          <w:r>
            <w:fldChar w:fldCharType="end"/>
          </w:r>
          <w:r>
            <w:fldChar w:fldCharType="end"/>
          </w:r>
        </w:p>
        <w:p>
          <w:pPr>
            <w:pStyle w:val="42"/>
            <w:tabs>
              <w:tab w:val="right" w:leader="dot" w:pos="8787"/>
            </w:tabs>
            <w:ind w:firstLine="400"/>
          </w:pPr>
          <w:r>
            <w:fldChar w:fldCharType="begin"/>
          </w:r>
          <w:r>
            <w:instrText xml:space="preserve"> HYPERLINK \l "_Toc15087" </w:instrText>
          </w:r>
          <w:r>
            <w:fldChar w:fldCharType="separate"/>
          </w:r>
          <w:r>
            <w:t>5.2  审批部门审批决定</w:t>
          </w:r>
          <w:r>
            <w:tab/>
          </w:r>
          <w:r>
            <w:fldChar w:fldCharType="begin"/>
          </w:r>
          <w:r>
            <w:instrText xml:space="preserve"> PAGEREF _Toc15087 \h </w:instrText>
          </w:r>
          <w:r>
            <w:fldChar w:fldCharType="separate"/>
          </w:r>
          <w:r>
            <w:t>22</w:t>
          </w:r>
          <w:r>
            <w:fldChar w:fldCharType="end"/>
          </w:r>
          <w:r>
            <w:fldChar w:fldCharType="end"/>
          </w:r>
        </w:p>
        <w:p>
          <w:pPr>
            <w:pStyle w:val="35"/>
            <w:tabs>
              <w:tab w:val="right" w:leader="dot" w:pos="8787"/>
            </w:tabs>
          </w:pPr>
          <w:r>
            <w:fldChar w:fldCharType="begin"/>
          </w:r>
          <w:r>
            <w:instrText xml:space="preserve"> HYPERLINK \l "_Toc13573" </w:instrText>
          </w:r>
          <w:r>
            <w:fldChar w:fldCharType="separate"/>
          </w:r>
          <w:r>
            <w:t>6  验收执行标准</w:t>
          </w:r>
          <w:r>
            <w:tab/>
          </w:r>
          <w:r>
            <w:fldChar w:fldCharType="begin"/>
          </w:r>
          <w:r>
            <w:instrText xml:space="preserve"> PAGEREF _Toc13573 \h </w:instrText>
          </w:r>
          <w:r>
            <w:fldChar w:fldCharType="separate"/>
          </w:r>
          <w:r>
            <w:t>25</w:t>
          </w:r>
          <w:r>
            <w:fldChar w:fldCharType="end"/>
          </w:r>
          <w:r>
            <w:fldChar w:fldCharType="end"/>
          </w:r>
        </w:p>
        <w:p>
          <w:pPr>
            <w:pStyle w:val="42"/>
            <w:tabs>
              <w:tab w:val="right" w:leader="dot" w:pos="8787"/>
            </w:tabs>
            <w:ind w:firstLine="400"/>
          </w:pPr>
          <w:r>
            <w:fldChar w:fldCharType="begin"/>
          </w:r>
          <w:r>
            <w:instrText xml:space="preserve"> HYPERLINK \l "_Toc2994" </w:instrText>
          </w:r>
          <w:r>
            <w:fldChar w:fldCharType="separate"/>
          </w:r>
          <w:r>
            <w:t>6.1  污染物排放标准</w:t>
          </w:r>
          <w:r>
            <w:tab/>
          </w:r>
          <w:r>
            <w:fldChar w:fldCharType="begin"/>
          </w:r>
          <w:r>
            <w:instrText xml:space="preserve"> PAGEREF _Toc2994 \h </w:instrText>
          </w:r>
          <w:r>
            <w:fldChar w:fldCharType="separate"/>
          </w:r>
          <w:r>
            <w:t>25</w:t>
          </w:r>
          <w:r>
            <w:fldChar w:fldCharType="end"/>
          </w:r>
          <w:r>
            <w:fldChar w:fldCharType="end"/>
          </w:r>
        </w:p>
        <w:p>
          <w:pPr>
            <w:pStyle w:val="42"/>
            <w:tabs>
              <w:tab w:val="right" w:leader="dot" w:pos="8787"/>
            </w:tabs>
            <w:ind w:firstLine="400"/>
          </w:pPr>
          <w:r>
            <w:fldChar w:fldCharType="begin"/>
          </w:r>
          <w:r>
            <w:instrText xml:space="preserve"> HYPERLINK \l "_Toc28239" </w:instrText>
          </w:r>
          <w:r>
            <w:fldChar w:fldCharType="separate"/>
          </w:r>
          <w:r>
            <w:t>6.2  总量控制指标</w:t>
          </w:r>
          <w:r>
            <w:tab/>
          </w:r>
          <w:r>
            <w:fldChar w:fldCharType="begin"/>
          </w:r>
          <w:r>
            <w:instrText xml:space="preserve"> PAGEREF _Toc28239 \h </w:instrText>
          </w:r>
          <w:r>
            <w:fldChar w:fldCharType="separate"/>
          </w:r>
          <w:r>
            <w:t>26</w:t>
          </w:r>
          <w:r>
            <w:fldChar w:fldCharType="end"/>
          </w:r>
          <w:r>
            <w:fldChar w:fldCharType="end"/>
          </w:r>
        </w:p>
        <w:p>
          <w:pPr>
            <w:pStyle w:val="35"/>
            <w:tabs>
              <w:tab w:val="right" w:leader="dot" w:pos="8787"/>
            </w:tabs>
          </w:pPr>
          <w:r>
            <w:fldChar w:fldCharType="begin"/>
          </w:r>
          <w:r>
            <w:instrText xml:space="preserve"> HYPERLINK \l "_Toc12860" </w:instrText>
          </w:r>
          <w:r>
            <w:fldChar w:fldCharType="separate"/>
          </w:r>
          <w:r>
            <w:t>7  验收监测内容</w:t>
          </w:r>
          <w:r>
            <w:tab/>
          </w:r>
          <w:r>
            <w:fldChar w:fldCharType="begin"/>
          </w:r>
          <w:r>
            <w:instrText xml:space="preserve"> PAGEREF _Toc12860 \h </w:instrText>
          </w:r>
          <w:r>
            <w:fldChar w:fldCharType="separate"/>
          </w:r>
          <w:r>
            <w:t>27</w:t>
          </w:r>
          <w:r>
            <w:fldChar w:fldCharType="end"/>
          </w:r>
          <w:r>
            <w:fldChar w:fldCharType="end"/>
          </w:r>
        </w:p>
        <w:p>
          <w:pPr>
            <w:pStyle w:val="42"/>
            <w:tabs>
              <w:tab w:val="right" w:leader="dot" w:pos="8787"/>
            </w:tabs>
            <w:ind w:firstLine="400"/>
          </w:pPr>
          <w:r>
            <w:fldChar w:fldCharType="begin"/>
          </w:r>
          <w:r>
            <w:instrText xml:space="preserve"> HYPERLINK \l "_Toc1050" </w:instrText>
          </w:r>
          <w:r>
            <w:fldChar w:fldCharType="separate"/>
          </w:r>
          <w:r>
            <w:t>7.</w:t>
          </w:r>
          <w:r>
            <w:rPr>
              <w:rFonts w:hint="eastAsia"/>
            </w:rPr>
            <w:t>1</w:t>
          </w:r>
          <w:r>
            <w:t xml:space="preserve">  废气</w:t>
          </w:r>
          <w:r>
            <w:tab/>
          </w:r>
          <w:r>
            <w:fldChar w:fldCharType="begin"/>
          </w:r>
          <w:r>
            <w:instrText xml:space="preserve"> PAGEREF _Toc1050 \h </w:instrText>
          </w:r>
          <w:r>
            <w:fldChar w:fldCharType="separate"/>
          </w:r>
          <w:r>
            <w:t>27</w:t>
          </w:r>
          <w:r>
            <w:fldChar w:fldCharType="end"/>
          </w:r>
          <w:r>
            <w:fldChar w:fldCharType="end"/>
          </w:r>
        </w:p>
        <w:p>
          <w:pPr>
            <w:pStyle w:val="42"/>
            <w:tabs>
              <w:tab w:val="right" w:leader="dot" w:pos="8787"/>
            </w:tabs>
            <w:ind w:firstLine="400"/>
          </w:pPr>
          <w:r>
            <w:fldChar w:fldCharType="begin"/>
          </w:r>
          <w:r>
            <w:instrText xml:space="preserve"> HYPERLINK \l "_Toc21183" </w:instrText>
          </w:r>
          <w:r>
            <w:fldChar w:fldCharType="separate"/>
          </w:r>
          <w:r>
            <w:t>7.2  噪声监测</w:t>
          </w:r>
          <w:r>
            <w:tab/>
          </w:r>
          <w:r>
            <w:fldChar w:fldCharType="begin"/>
          </w:r>
          <w:r>
            <w:instrText xml:space="preserve"> PAGEREF _Toc21183 \h </w:instrText>
          </w:r>
          <w:r>
            <w:fldChar w:fldCharType="separate"/>
          </w:r>
          <w:r>
            <w:t>27</w:t>
          </w:r>
          <w:r>
            <w:fldChar w:fldCharType="end"/>
          </w:r>
          <w:r>
            <w:fldChar w:fldCharType="end"/>
          </w:r>
        </w:p>
        <w:p>
          <w:pPr>
            <w:pStyle w:val="35"/>
            <w:tabs>
              <w:tab w:val="right" w:leader="dot" w:pos="8787"/>
            </w:tabs>
          </w:pPr>
          <w:r>
            <w:fldChar w:fldCharType="begin"/>
          </w:r>
          <w:r>
            <w:instrText xml:space="preserve"> HYPERLINK \l "_Toc641" </w:instrText>
          </w:r>
          <w:r>
            <w:fldChar w:fldCharType="separate"/>
          </w:r>
          <w:r>
            <w:t>8  质量保证和质量控制</w:t>
          </w:r>
          <w:r>
            <w:tab/>
          </w:r>
          <w:r>
            <w:fldChar w:fldCharType="begin"/>
          </w:r>
          <w:r>
            <w:instrText xml:space="preserve"> PAGEREF _Toc641 \h </w:instrText>
          </w:r>
          <w:r>
            <w:fldChar w:fldCharType="separate"/>
          </w:r>
          <w:r>
            <w:t>29</w:t>
          </w:r>
          <w:r>
            <w:fldChar w:fldCharType="end"/>
          </w:r>
          <w:r>
            <w:fldChar w:fldCharType="end"/>
          </w:r>
        </w:p>
        <w:p>
          <w:pPr>
            <w:pStyle w:val="42"/>
            <w:tabs>
              <w:tab w:val="right" w:leader="dot" w:pos="8787"/>
            </w:tabs>
            <w:ind w:firstLine="400"/>
          </w:pPr>
          <w:r>
            <w:fldChar w:fldCharType="begin"/>
          </w:r>
          <w:r>
            <w:instrText xml:space="preserve"> HYPERLINK \l "_Toc9943" </w:instrText>
          </w:r>
          <w:r>
            <w:fldChar w:fldCharType="separate"/>
          </w:r>
          <w:r>
            <w:t>8.1  监测分析方法和监测仪器</w:t>
          </w:r>
          <w:r>
            <w:tab/>
          </w:r>
          <w:r>
            <w:fldChar w:fldCharType="begin"/>
          </w:r>
          <w:r>
            <w:instrText xml:space="preserve"> PAGEREF _Toc9943 \h </w:instrText>
          </w:r>
          <w:r>
            <w:fldChar w:fldCharType="separate"/>
          </w:r>
          <w:r>
            <w:t>29</w:t>
          </w:r>
          <w:r>
            <w:fldChar w:fldCharType="end"/>
          </w:r>
          <w:r>
            <w:fldChar w:fldCharType="end"/>
          </w:r>
        </w:p>
        <w:p>
          <w:pPr>
            <w:pStyle w:val="42"/>
            <w:tabs>
              <w:tab w:val="right" w:leader="dot" w:pos="8787"/>
            </w:tabs>
            <w:ind w:firstLine="400"/>
          </w:pPr>
          <w:r>
            <w:fldChar w:fldCharType="begin"/>
          </w:r>
          <w:r>
            <w:instrText xml:space="preserve"> HYPERLINK \l "_Toc19189" </w:instrText>
          </w:r>
          <w:r>
            <w:fldChar w:fldCharType="separate"/>
          </w:r>
          <w:r>
            <w:t>8.2  人员能力</w:t>
          </w:r>
          <w:r>
            <w:tab/>
          </w:r>
          <w:r>
            <w:fldChar w:fldCharType="begin"/>
          </w:r>
          <w:r>
            <w:instrText xml:space="preserve"> PAGEREF _Toc19189 \h </w:instrText>
          </w:r>
          <w:r>
            <w:fldChar w:fldCharType="separate"/>
          </w:r>
          <w:r>
            <w:t>29</w:t>
          </w:r>
          <w:r>
            <w:fldChar w:fldCharType="end"/>
          </w:r>
          <w:r>
            <w:fldChar w:fldCharType="end"/>
          </w:r>
        </w:p>
        <w:p>
          <w:pPr>
            <w:pStyle w:val="42"/>
            <w:tabs>
              <w:tab w:val="right" w:leader="dot" w:pos="8787"/>
            </w:tabs>
            <w:ind w:firstLine="400"/>
          </w:pPr>
          <w:r>
            <w:fldChar w:fldCharType="begin"/>
          </w:r>
          <w:r>
            <w:instrText xml:space="preserve"> HYPERLINK \l "_Toc26471" </w:instrText>
          </w:r>
          <w:r>
            <w:fldChar w:fldCharType="separate"/>
          </w:r>
          <w:r>
            <w:t>8.3  质量保证和质量控制</w:t>
          </w:r>
          <w:r>
            <w:tab/>
          </w:r>
          <w:r>
            <w:fldChar w:fldCharType="begin"/>
          </w:r>
          <w:r>
            <w:instrText xml:space="preserve"> PAGEREF _Toc26471 \h </w:instrText>
          </w:r>
          <w:r>
            <w:fldChar w:fldCharType="separate"/>
          </w:r>
          <w:r>
            <w:t>29</w:t>
          </w:r>
          <w:r>
            <w:fldChar w:fldCharType="end"/>
          </w:r>
          <w:r>
            <w:fldChar w:fldCharType="end"/>
          </w:r>
        </w:p>
        <w:p>
          <w:pPr>
            <w:pStyle w:val="35"/>
            <w:tabs>
              <w:tab w:val="right" w:leader="dot" w:pos="8787"/>
            </w:tabs>
          </w:pPr>
          <w:r>
            <w:fldChar w:fldCharType="begin"/>
          </w:r>
          <w:r>
            <w:instrText xml:space="preserve"> HYPERLINK \l "_Toc798" </w:instrText>
          </w:r>
          <w:r>
            <w:fldChar w:fldCharType="separate"/>
          </w:r>
          <w:r>
            <w:t>9  验收监测结果</w:t>
          </w:r>
          <w:r>
            <w:tab/>
          </w:r>
          <w:r>
            <w:fldChar w:fldCharType="begin"/>
          </w:r>
          <w:r>
            <w:instrText xml:space="preserve"> PAGEREF _Toc798 \h </w:instrText>
          </w:r>
          <w:r>
            <w:fldChar w:fldCharType="separate"/>
          </w:r>
          <w:r>
            <w:t>31</w:t>
          </w:r>
          <w:r>
            <w:fldChar w:fldCharType="end"/>
          </w:r>
          <w:r>
            <w:fldChar w:fldCharType="end"/>
          </w:r>
        </w:p>
        <w:p>
          <w:pPr>
            <w:pStyle w:val="42"/>
            <w:tabs>
              <w:tab w:val="right" w:leader="dot" w:pos="8787"/>
            </w:tabs>
            <w:ind w:firstLine="400"/>
          </w:pPr>
          <w:r>
            <w:fldChar w:fldCharType="begin"/>
          </w:r>
          <w:r>
            <w:instrText xml:space="preserve"> HYPERLINK \l "_Toc31366" </w:instrText>
          </w:r>
          <w:r>
            <w:fldChar w:fldCharType="separate"/>
          </w:r>
          <w:r>
            <w:t>9.1  生产工况</w:t>
          </w:r>
          <w:r>
            <w:tab/>
          </w:r>
          <w:r>
            <w:fldChar w:fldCharType="begin"/>
          </w:r>
          <w:r>
            <w:instrText xml:space="preserve"> PAGEREF _Toc31366 \h </w:instrText>
          </w:r>
          <w:r>
            <w:fldChar w:fldCharType="separate"/>
          </w:r>
          <w:r>
            <w:t>31</w:t>
          </w:r>
          <w:r>
            <w:fldChar w:fldCharType="end"/>
          </w:r>
          <w:r>
            <w:fldChar w:fldCharType="end"/>
          </w:r>
        </w:p>
        <w:p>
          <w:pPr>
            <w:pStyle w:val="42"/>
            <w:tabs>
              <w:tab w:val="right" w:leader="dot" w:pos="8787"/>
            </w:tabs>
            <w:ind w:firstLine="400"/>
          </w:pPr>
          <w:r>
            <w:fldChar w:fldCharType="begin"/>
          </w:r>
          <w:r>
            <w:instrText xml:space="preserve"> HYPERLINK \l "_Toc7062" </w:instrText>
          </w:r>
          <w:r>
            <w:fldChar w:fldCharType="separate"/>
          </w:r>
          <w:r>
            <w:t>9.2  环境保护设施调试效果</w:t>
          </w:r>
          <w:r>
            <w:tab/>
          </w:r>
          <w:r>
            <w:fldChar w:fldCharType="begin"/>
          </w:r>
          <w:r>
            <w:instrText xml:space="preserve"> PAGEREF _Toc7062 \h </w:instrText>
          </w:r>
          <w:r>
            <w:fldChar w:fldCharType="separate"/>
          </w:r>
          <w:r>
            <w:t>31</w:t>
          </w:r>
          <w:r>
            <w:fldChar w:fldCharType="end"/>
          </w:r>
          <w:r>
            <w:fldChar w:fldCharType="end"/>
          </w:r>
        </w:p>
        <w:p>
          <w:pPr>
            <w:pStyle w:val="35"/>
            <w:tabs>
              <w:tab w:val="right" w:leader="dot" w:pos="8787"/>
            </w:tabs>
          </w:pPr>
          <w:r>
            <w:fldChar w:fldCharType="begin"/>
          </w:r>
          <w:r>
            <w:instrText xml:space="preserve"> HYPERLINK \l "_Toc11707" </w:instrText>
          </w:r>
          <w:r>
            <w:fldChar w:fldCharType="separate"/>
          </w:r>
          <w:r>
            <w:t>10  验收监测结论</w:t>
          </w:r>
          <w:r>
            <w:tab/>
          </w:r>
          <w:r>
            <w:fldChar w:fldCharType="begin"/>
          </w:r>
          <w:r>
            <w:instrText xml:space="preserve"> PAGEREF _Toc11707 \h </w:instrText>
          </w:r>
          <w:r>
            <w:fldChar w:fldCharType="separate"/>
          </w:r>
          <w:r>
            <w:t>34</w:t>
          </w:r>
          <w:r>
            <w:fldChar w:fldCharType="end"/>
          </w:r>
          <w:r>
            <w:fldChar w:fldCharType="end"/>
          </w:r>
        </w:p>
        <w:p>
          <w:pPr>
            <w:pStyle w:val="42"/>
            <w:tabs>
              <w:tab w:val="right" w:leader="dot" w:pos="8787"/>
            </w:tabs>
            <w:ind w:firstLine="400"/>
          </w:pPr>
          <w:r>
            <w:fldChar w:fldCharType="begin"/>
          </w:r>
          <w:r>
            <w:instrText xml:space="preserve"> HYPERLINK \l "_Toc13759" </w:instrText>
          </w:r>
          <w:r>
            <w:fldChar w:fldCharType="separate"/>
          </w:r>
          <w:r>
            <w:t>10.1  环保设施调试运行效果</w:t>
          </w:r>
          <w:r>
            <w:tab/>
          </w:r>
          <w:r>
            <w:fldChar w:fldCharType="begin"/>
          </w:r>
          <w:r>
            <w:instrText xml:space="preserve"> PAGEREF _Toc13759 \h </w:instrText>
          </w:r>
          <w:r>
            <w:fldChar w:fldCharType="separate"/>
          </w:r>
          <w:r>
            <w:t>34</w:t>
          </w:r>
          <w:r>
            <w:fldChar w:fldCharType="end"/>
          </w:r>
          <w:r>
            <w:fldChar w:fldCharType="end"/>
          </w:r>
        </w:p>
        <w:p>
          <w:pPr>
            <w:pStyle w:val="42"/>
            <w:tabs>
              <w:tab w:val="right" w:leader="dot" w:pos="8787"/>
            </w:tabs>
            <w:ind w:firstLine="400"/>
          </w:pPr>
          <w:r>
            <w:fldChar w:fldCharType="begin"/>
          </w:r>
          <w:r>
            <w:instrText xml:space="preserve"> HYPERLINK \l "_Toc18189" </w:instrText>
          </w:r>
          <w:r>
            <w:fldChar w:fldCharType="separate"/>
          </w:r>
          <w:r>
            <w:t>10.2  工程建设对环境的影响</w:t>
          </w:r>
          <w:r>
            <w:tab/>
          </w:r>
          <w:r>
            <w:fldChar w:fldCharType="begin"/>
          </w:r>
          <w:r>
            <w:instrText xml:space="preserve"> PAGEREF _Toc18189 \h </w:instrText>
          </w:r>
          <w:r>
            <w:fldChar w:fldCharType="separate"/>
          </w:r>
          <w:r>
            <w:t>34</w:t>
          </w:r>
          <w:r>
            <w:fldChar w:fldCharType="end"/>
          </w:r>
          <w:r>
            <w:fldChar w:fldCharType="end"/>
          </w:r>
        </w:p>
        <w:p>
          <w:pPr>
            <w:pStyle w:val="42"/>
            <w:tabs>
              <w:tab w:val="right" w:leader="dot" w:pos="8787"/>
            </w:tabs>
            <w:ind w:firstLine="400"/>
          </w:pPr>
          <w:r>
            <w:fldChar w:fldCharType="begin"/>
          </w:r>
          <w:r>
            <w:instrText xml:space="preserve"> HYPERLINK \l "_Toc10497" </w:instrText>
          </w:r>
          <w:r>
            <w:fldChar w:fldCharType="separate"/>
          </w:r>
          <w:r>
            <w:t>10.3  验收结论</w:t>
          </w:r>
          <w:r>
            <w:tab/>
          </w:r>
          <w:r>
            <w:fldChar w:fldCharType="begin"/>
          </w:r>
          <w:r>
            <w:instrText xml:space="preserve"> PAGEREF _Toc10497 \h </w:instrText>
          </w:r>
          <w:r>
            <w:fldChar w:fldCharType="separate"/>
          </w:r>
          <w:r>
            <w:t>34</w:t>
          </w:r>
          <w:r>
            <w:fldChar w:fldCharType="end"/>
          </w:r>
          <w:r>
            <w:fldChar w:fldCharType="end"/>
          </w:r>
        </w:p>
        <w:p>
          <w:pPr>
            <w:pStyle w:val="35"/>
            <w:tabs>
              <w:tab w:val="right" w:leader="dot" w:pos="8787"/>
            </w:tabs>
          </w:pPr>
          <w:r>
            <w:fldChar w:fldCharType="begin"/>
          </w:r>
          <w:r>
            <w:instrText xml:space="preserve"> HYPERLINK \l "_Toc19389" </w:instrText>
          </w:r>
          <w:r>
            <w:fldChar w:fldCharType="separate"/>
          </w:r>
          <w:r>
            <w:rPr>
              <w:rFonts w:hint="eastAsia"/>
            </w:rPr>
            <w:t>1</w:t>
          </w:r>
          <w:r>
            <w:t xml:space="preserve">1  </w:t>
          </w:r>
          <w:r>
            <w:rPr>
              <w:rFonts w:hint="eastAsia"/>
            </w:rPr>
            <w:t>附图</w:t>
          </w:r>
          <w:r>
            <w:tab/>
          </w:r>
          <w:r>
            <w:fldChar w:fldCharType="begin"/>
          </w:r>
          <w:r>
            <w:instrText xml:space="preserve"> PAGEREF _Toc19389 \h </w:instrText>
          </w:r>
          <w:r>
            <w:fldChar w:fldCharType="separate"/>
          </w:r>
          <w:r>
            <w:t>35</w:t>
          </w:r>
          <w:r>
            <w:fldChar w:fldCharType="end"/>
          </w:r>
          <w:r>
            <w:fldChar w:fldCharType="end"/>
          </w:r>
        </w:p>
        <w:p>
          <w:pPr>
            <w:pStyle w:val="35"/>
            <w:tabs>
              <w:tab w:val="right" w:leader="dot" w:pos="8787"/>
            </w:tabs>
          </w:pPr>
          <w:r>
            <w:fldChar w:fldCharType="begin"/>
          </w:r>
          <w:r>
            <w:instrText xml:space="preserve"> HYPERLINK \l "_Toc11054" </w:instrText>
          </w:r>
          <w:r>
            <w:fldChar w:fldCharType="separate"/>
          </w:r>
          <w:r>
            <w:t>12  附件</w:t>
          </w:r>
          <w:r>
            <w:tab/>
          </w:r>
          <w:r>
            <w:fldChar w:fldCharType="begin"/>
          </w:r>
          <w:r>
            <w:instrText xml:space="preserve"> PAGEREF _Toc11054 \h </w:instrText>
          </w:r>
          <w:r>
            <w:fldChar w:fldCharType="separate"/>
          </w:r>
          <w:r>
            <w:t>40</w:t>
          </w:r>
          <w:r>
            <w:fldChar w:fldCharType="end"/>
          </w:r>
          <w:r>
            <w:fldChar w:fldCharType="end"/>
          </w:r>
        </w:p>
        <w:p>
          <w:pPr>
            <w:pStyle w:val="42"/>
            <w:tabs>
              <w:tab w:val="right" w:leader="dot" w:pos="8787"/>
            </w:tabs>
            <w:ind w:firstLine="400"/>
          </w:pPr>
          <w:r>
            <w:fldChar w:fldCharType="begin"/>
          </w:r>
          <w:r>
            <w:instrText xml:space="preserve"> HYPERLINK \l "_Toc4513" </w:instrText>
          </w:r>
          <w:r>
            <w:fldChar w:fldCharType="separate"/>
          </w:r>
          <w:r>
            <w:t>12.1  营业执照</w:t>
          </w:r>
          <w:r>
            <w:tab/>
          </w:r>
          <w:r>
            <w:fldChar w:fldCharType="begin"/>
          </w:r>
          <w:r>
            <w:instrText xml:space="preserve"> PAGEREF _Toc4513 \h </w:instrText>
          </w:r>
          <w:r>
            <w:fldChar w:fldCharType="separate"/>
          </w:r>
          <w:r>
            <w:t>40</w:t>
          </w:r>
          <w:r>
            <w:fldChar w:fldCharType="end"/>
          </w:r>
          <w:r>
            <w:fldChar w:fldCharType="end"/>
          </w:r>
        </w:p>
        <w:p>
          <w:pPr>
            <w:pStyle w:val="42"/>
            <w:tabs>
              <w:tab w:val="right" w:leader="dot" w:pos="8787"/>
            </w:tabs>
            <w:ind w:firstLine="400"/>
          </w:pPr>
          <w:r>
            <w:fldChar w:fldCharType="begin"/>
          </w:r>
          <w:r>
            <w:instrText xml:space="preserve"> HYPERLINK \l "_Toc31972" </w:instrText>
          </w:r>
          <w:r>
            <w:fldChar w:fldCharType="separate"/>
          </w:r>
          <w:r>
            <w:t>12.2  环评批复</w:t>
          </w:r>
          <w:r>
            <w:tab/>
          </w:r>
          <w:r>
            <w:fldChar w:fldCharType="begin"/>
          </w:r>
          <w:r>
            <w:instrText xml:space="preserve"> PAGEREF _Toc31972 \h </w:instrText>
          </w:r>
          <w:r>
            <w:fldChar w:fldCharType="separate"/>
          </w:r>
          <w:r>
            <w:t>41</w:t>
          </w:r>
          <w:r>
            <w:fldChar w:fldCharType="end"/>
          </w:r>
          <w:r>
            <w:fldChar w:fldCharType="end"/>
          </w:r>
        </w:p>
        <w:p>
          <w:pPr>
            <w:pStyle w:val="42"/>
            <w:tabs>
              <w:tab w:val="right" w:leader="dot" w:pos="8787"/>
            </w:tabs>
            <w:ind w:firstLine="400"/>
          </w:pPr>
          <w:r>
            <w:fldChar w:fldCharType="begin"/>
          </w:r>
          <w:r>
            <w:instrText xml:space="preserve"> HYPERLINK \l "_Toc6260" </w:instrText>
          </w:r>
          <w:r>
            <w:fldChar w:fldCharType="separate"/>
          </w:r>
          <w:r>
            <w:t>12.</w:t>
          </w:r>
          <w:r>
            <w:rPr>
              <w:rFonts w:hint="eastAsia"/>
            </w:rPr>
            <w:t>3</w:t>
          </w:r>
          <w:r>
            <w:t xml:space="preserve">  </w:t>
          </w:r>
          <w:r>
            <w:rPr>
              <w:rFonts w:hint="eastAsia"/>
            </w:rPr>
            <w:t>排污登记截图</w:t>
          </w:r>
          <w:r>
            <w:tab/>
          </w:r>
          <w:r>
            <w:fldChar w:fldCharType="begin"/>
          </w:r>
          <w:r>
            <w:instrText xml:space="preserve"> PAGEREF _Toc6260 \h </w:instrText>
          </w:r>
          <w:r>
            <w:fldChar w:fldCharType="separate"/>
          </w:r>
          <w:r>
            <w:t>43</w:t>
          </w:r>
          <w:r>
            <w:fldChar w:fldCharType="end"/>
          </w:r>
          <w:r>
            <w:fldChar w:fldCharType="end"/>
          </w:r>
        </w:p>
        <w:p>
          <w:pPr>
            <w:pStyle w:val="42"/>
            <w:tabs>
              <w:tab w:val="right" w:leader="dot" w:pos="8787"/>
            </w:tabs>
            <w:ind w:firstLine="400"/>
          </w:pPr>
          <w:r>
            <w:fldChar w:fldCharType="begin"/>
          </w:r>
          <w:r>
            <w:instrText xml:space="preserve"> HYPERLINK \l "_Toc16934" </w:instrText>
          </w:r>
          <w:r>
            <w:fldChar w:fldCharType="separate"/>
          </w:r>
          <w:r>
            <w:t>12.</w:t>
          </w:r>
          <w:r>
            <w:rPr>
              <w:rFonts w:hint="eastAsia"/>
            </w:rPr>
            <w:t>4</w:t>
          </w:r>
          <w:r>
            <w:t xml:space="preserve">  </w:t>
          </w:r>
          <w:r>
            <w:rPr>
              <w:rFonts w:hint="eastAsia"/>
            </w:rPr>
            <w:t>立项文件</w:t>
          </w:r>
          <w:r>
            <w:tab/>
          </w:r>
          <w:r>
            <w:fldChar w:fldCharType="begin"/>
          </w:r>
          <w:r>
            <w:instrText xml:space="preserve"> PAGEREF _Toc16934 \h </w:instrText>
          </w:r>
          <w:r>
            <w:fldChar w:fldCharType="separate"/>
          </w:r>
          <w:r>
            <w:t>44</w:t>
          </w:r>
          <w:r>
            <w:fldChar w:fldCharType="end"/>
          </w:r>
          <w:r>
            <w:fldChar w:fldCharType="end"/>
          </w:r>
        </w:p>
        <w:p>
          <w:pPr>
            <w:pStyle w:val="42"/>
            <w:tabs>
              <w:tab w:val="right" w:leader="dot" w:pos="8787"/>
            </w:tabs>
            <w:ind w:firstLine="400"/>
          </w:pPr>
          <w:r>
            <w:fldChar w:fldCharType="begin"/>
          </w:r>
          <w:r>
            <w:instrText xml:space="preserve"> HYPERLINK \l "_Toc21151" </w:instrText>
          </w:r>
          <w:r>
            <w:fldChar w:fldCharType="separate"/>
          </w:r>
          <w:r>
            <w:t>12.</w:t>
          </w:r>
          <w:r>
            <w:rPr>
              <w:rFonts w:hint="eastAsia"/>
            </w:rPr>
            <w:t>5</w:t>
          </w:r>
          <w:r>
            <w:t xml:space="preserve">  </w:t>
          </w:r>
          <w:r>
            <w:rPr>
              <w:rFonts w:hint="eastAsia"/>
            </w:rPr>
            <w:t>危废处理协议</w:t>
          </w:r>
          <w:r>
            <w:tab/>
          </w:r>
          <w:r>
            <w:fldChar w:fldCharType="begin"/>
          </w:r>
          <w:r>
            <w:instrText xml:space="preserve"> PAGEREF _Toc21151 \h </w:instrText>
          </w:r>
          <w:r>
            <w:fldChar w:fldCharType="separate"/>
          </w:r>
          <w:r>
            <w:t>46</w:t>
          </w:r>
          <w:r>
            <w:fldChar w:fldCharType="end"/>
          </w:r>
          <w:r>
            <w:fldChar w:fldCharType="end"/>
          </w:r>
        </w:p>
        <w:p>
          <w:pPr>
            <w:pStyle w:val="42"/>
            <w:tabs>
              <w:tab w:val="right" w:leader="dot" w:pos="8787"/>
            </w:tabs>
            <w:ind w:firstLine="400"/>
          </w:pPr>
          <w:r>
            <w:fldChar w:fldCharType="begin"/>
          </w:r>
          <w:r>
            <w:instrText xml:space="preserve"> HYPERLINK \l "_Toc12410" </w:instrText>
          </w:r>
          <w:r>
            <w:fldChar w:fldCharType="separate"/>
          </w:r>
          <w:r>
            <w:rPr>
              <w:highlight w:val="none"/>
            </w:rPr>
            <w:t>12.</w:t>
          </w:r>
          <w:r>
            <w:rPr>
              <w:rFonts w:hint="eastAsia"/>
              <w:highlight w:val="none"/>
            </w:rPr>
            <w:t>6</w:t>
          </w:r>
          <w:r>
            <w:rPr>
              <w:highlight w:val="none"/>
            </w:rPr>
            <w:t xml:space="preserve">  </w:t>
          </w:r>
          <w:r>
            <w:rPr>
              <w:rFonts w:hint="eastAsia"/>
              <w:highlight w:val="none"/>
            </w:rPr>
            <w:t>监测报告</w:t>
          </w:r>
          <w:r>
            <w:tab/>
          </w:r>
          <w:r>
            <w:fldChar w:fldCharType="begin"/>
          </w:r>
          <w:r>
            <w:instrText xml:space="preserve"> PAGEREF _Toc12410 \h </w:instrText>
          </w:r>
          <w:r>
            <w:fldChar w:fldCharType="separate"/>
          </w:r>
          <w:r>
            <w:t>52</w:t>
          </w:r>
          <w:r>
            <w:fldChar w:fldCharType="end"/>
          </w:r>
          <w:r>
            <w:fldChar w:fldCharType="end"/>
          </w:r>
        </w:p>
        <w:p>
          <w:pPr>
            <w:pStyle w:val="35"/>
            <w:tabs>
              <w:tab w:val="right" w:leader="dot" w:pos="8787"/>
            </w:tabs>
          </w:pPr>
        </w:p>
        <w:p>
          <w:pPr>
            <w:pStyle w:val="3"/>
            <w:ind w:firstLine="210"/>
            <w:sectPr>
              <w:headerReference r:id="rId11" w:type="default"/>
              <w:footerReference r:id="rId12" w:type="default"/>
              <w:pgSz w:w="11906" w:h="16838"/>
              <w:pgMar w:top="1247" w:right="1531" w:bottom="1247" w:left="1588" w:header="851" w:footer="992" w:gutter="0"/>
              <w:pgNumType w:fmt="upperRoman" w:start="1"/>
              <w:cols w:space="720" w:num="1"/>
              <w:docGrid w:linePitch="326" w:charSpace="0"/>
            </w:sectPr>
          </w:pPr>
          <w:r>
            <w:fldChar w:fldCharType="end"/>
          </w:r>
        </w:p>
      </w:sdtContent>
    </w:sdt>
    <w:p>
      <w:pPr>
        <w:pStyle w:val="7"/>
        <w:keepNext w:val="0"/>
        <w:keepLines w:val="0"/>
        <w:widowControl w:val="0"/>
        <w:rPr>
          <w:snapToGrid w:val="0"/>
          <w:kern w:val="0"/>
        </w:rPr>
      </w:pPr>
      <w:bookmarkStart w:id="2" w:name="_Toc5673"/>
      <w:bookmarkStart w:id="3" w:name="_Toc30756"/>
      <w:bookmarkStart w:id="4" w:name="_Toc3903"/>
      <w:bookmarkStart w:id="5" w:name="_Toc4655"/>
      <w:bookmarkStart w:id="6" w:name="_Toc13916"/>
      <w:bookmarkStart w:id="7" w:name="_Toc25240"/>
      <w:r>
        <w:rPr>
          <w:snapToGrid w:val="0"/>
          <w:kern w:val="0"/>
        </w:rPr>
        <w:t>1  验收项目概况</w:t>
      </w:r>
      <w:bookmarkEnd w:id="1"/>
      <w:bookmarkEnd w:id="2"/>
      <w:bookmarkEnd w:id="3"/>
      <w:bookmarkEnd w:id="4"/>
      <w:bookmarkEnd w:id="5"/>
      <w:bookmarkEnd w:id="6"/>
      <w:bookmarkEnd w:id="7"/>
    </w:p>
    <w:p>
      <w:pPr>
        <w:ind w:firstLine="480"/>
      </w:pPr>
      <w:r>
        <w:t>沈阳造币有限公司厂址位于沈阳市大东区大东路138号，主要产品包括流通硬币、普通纪念币、金银纪念币</w:t>
      </w:r>
      <w:r>
        <w:rPr>
          <w:rFonts w:hint="eastAsia"/>
        </w:rPr>
        <w:t>，全厂年产硬币</w:t>
      </w:r>
      <w:r>
        <w:t>75</w:t>
      </w:r>
      <w:r>
        <w:rPr>
          <w:rFonts w:hint="eastAsia"/>
        </w:rPr>
        <w:t>亿枚</w:t>
      </w:r>
      <w:r>
        <w:t>。企业在册职工</w:t>
      </w:r>
      <w:r>
        <w:rPr>
          <w:rFonts w:hint="eastAsia"/>
        </w:rPr>
        <w:t>905</w:t>
      </w:r>
      <w:r>
        <w:t>人，</w:t>
      </w:r>
      <w:r>
        <w:rPr>
          <w:rFonts w:hint="eastAsia"/>
        </w:rPr>
        <w:t>全厂总</w:t>
      </w:r>
      <w:r>
        <w:t>占地面积100998m</w:t>
      </w:r>
      <w:r>
        <w:rPr>
          <w:vertAlign w:val="superscript"/>
        </w:rPr>
        <w:t>2</w:t>
      </w:r>
      <w:r>
        <w:t>。</w:t>
      </w:r>
      <w:r>
        <w:rPr>
          <w:rFonts w:hint="eastAsia"/>
        </w:rPr>
        <w:t>公司发展历程如下：</w:t>
      </w:r>
    </w:p>
    <w:p>
      <w:pPr>
        <w:ind w:firstLine="480"/>
      </w:pPr>
      <w:r>
        <w:t>沈阳造币有限公司</w:t>
      </w:r>
      <w:r>
        <w:rPr>
          <w:rFonts w:hint="eastAsia"/>
        </w:rPr>
        <w:t>早期设有5条生产线，年产流通硬币5</w:t>
      </w:r>
      <w:r>
        <w:t>0</w:t>
      </w:r>
      <w:r>
        <w:rPr>
          <w:rFonts w:hint="eastAsia"/>
        </w:rPr>
        <w:t>亿枚。公司于1</w:t>
      </w:r>
      <w:r>
        <w:t>993</w:t>
      </w:r>
      <w:r>
        <w:rPr>
          <w:rFonts w:hint="eastAsia"/>
        </w:rPr>
        <w:t>年建设了铜币坯饼生产车间技术改造项目，新增生产能力为5亿枚，项目于1993年由原沈阳市环境保护局审批，并于同年完成了原沈阳市环境保护局的验收。公司于2</w:t>
      </w:r>
      <w:r>
        <w:t>010</w:t>
      </w:r>
      <w:r>
        <w:rPr>
          <w:rFonts w:hint="eastAsia"/>
        </w:rPr>
        <w:t>年新建了</w:t>
      </w:r>
      <w:r>
        <w:t>位于造币一部的20亿枚</w:t>
      </w:r>
      <w:r>
        <w:rPr>
          <w:rFonts w:hint="eastAsia"/>
        </w:rPr>
        <w:t>的</w:t>
      </w:r>
      <w:r>
        <w:t>两条生产线</w:t>
      </w:r>
      <w:r>
        <w:rPr>
          <w:rFonts w:hint="eastAsia"/>
        </w:rPr>
        <w:t>，新增生产能力2</w:t>
      </w:r>
      <w:r>
        <w:t>0</w:t>
      </w:r>
      <w:r>
        <w:rPr>
          <w:rFonts w:hint="eastAsia"/>
        </w:rPr>
        <w:t>亿枚/年。该项目</w:t>
      </w:r>
      <w:r>
        <w:t>于2010年9月完成了辽宁省环境保护厅的审批，并在2012年9月完成</w:t>
      </w:r>
      <w:r>
        <w:rPr>
          <w:rFonts w:hint="eastAsia"/>
        </w:rPr>
        <w:t>竣工环境保护</w:t>
      </w:r>
      <w:r>
        <w:t>验收</w:t>
      </w:r>
      <w:r>
        <w:rPr>
          <w:rFonts w:hint="eastAsia"/>
        </w:rPr>
        <w:t>。公司于2</w:t>
      </w:r>
      <w:r>
        <w:t>011</w:t>
      </w:r>
      <w:r>
        <w:rPr>
          <w:rFonts w:hint="eastAsia"/>
        </w:rPr>
        <w:t>年，</w:t>
      </w:r>
      <w:r>
        <w:t>利用造币一部改造后的预留空间，对造币二部、三部现有厂房进行局部改造</w:t>
      </w:r>
      <w:r>
        <w:rPr>
          <w:rFonts w:hint="eastAsia"/>
        </w:rPr>
        <w:t>，新建了三</w:t>
      </w:r>
      <w:r>
        <w:t>条生产线</w:t>
      </w:r>
      <w:r>
        <w:rPr>
          <w:rFonts w:hint="eastAsia"/>
        </w:rPr>
        <w:t>，新增生产能力3</w:t>
      </w:r>
      <w:r>
        <w:t>0</w:t>
      </w:r>
      <w:r>
        <w:rPr>
          <w:rFonts w:hint="eastAsia"/>
        </w:rPr>
        <w:t>亿枚/年。该项目</w:t>
      </w:r>
      <w:r>
        <w:t>于2011年6月完成了辽宁省环境保护厅的环保审批，并在2015年3月完成环保验收</w:t>
      </w:r>
      <w:r>
        <w:rPr>
          <w:rFonts w:hint="eastAsia"/>
        </w:rPr>
        <w:t>。公司于2</w:t>
      </w:r>
      <w:r>
        <w:t>019</w:t>
      </w:r>
      <w:r>
        <w:rPr>
          <w:rFonts w:hint="eastAsia"/>
        </w:rPr>
        <w:t>年</w:t>
      </w:r>
      <w:r>
        <w:t>利用厂区东北侧的三层钞票处理中心及两层管理用房进行改造的</w:t>
      </w:r>
      <w:r>
        <w:rPr>
          <w:rFonts w:hint="eastAsia"/>
        </w:rPr>
        <w:t>沈阳造币有限公司钞票处理中心建设项目</w:t>
      </w:r>
      <w:r>
        <w:t>，</w:t>
      </w:r>
      <w:r>
        <w:rPr>
          <w:rFonts w:hint="eastAsia"/>
        </w:rPr>
        <w:t>该项目未增加生产能力。此项目</w:t>
      </w:r>
      <w:r>
        <w:t>于2019年12月完成了沈阳市生态环境局大东分局的环保审批。</w:t>
      </w:r>
      <w:r>
        <w:rPr>
          <w:rFonts w:hint="eastAsia"/>
        </w:rPr>
        <w:t>目前该项目正在建设中，暂未验收。公司近年由于业务调整，逐步封存了造币二部的两条、造币三部的一条流通币生产线，总产量减少3</w:t>
      </w:r>
      <w:r>
        <w:t>0</w:t>
      </w:r>
      <w:r>
        <w:rPr>
          <w:rFonts w:hint="eastAsia"/>
        </w:rPr>
        <w:t>亿枚/年。目前全厂年产硬币</w:t>
      </w:r>
      <w:r>
        <w:t>75</w:t>
      </w:r>
      <w:r>
        <w:rPr>
          <w:rFonts w:hint="eastAsia"/>
        </w:rPr>
        <w:t>亿枚</w:t>
      </w:r>
      <w:r>
        <w:t>。</w:t>
      </w:r>
    </w:p>
    <w:p>
      <w:pPr>
        <w:ind w:firstLine="480"/>
      </w:pPr>
      <w:r>
        <w:t>沈阳造币有限公司新增投资</w:t>
      </w:r>
      <w:r>
        <w:rPr>
          <w:rFonts w:hint="eastAsia"/>
        </w:rPr>
        <w:t>4</w:t>
      </w:r>
      <w:r>
        <w:t>200万元，对位于厂区东侧的造币三部进行改造建设“沈阳造币有限公司彩喷机十台购置项目”，</w:t>
      </w:r>
      <w:r>
        <w:rPr>
          <w:rFonts w:hint="eastAsia"/>
        </w:rPr>
        <w:t>项目</w:t>
      </w:r>
      <w:r>
        <w:t>建成后将能够满足中国人民银行（沈阳分行辽宁辖区）对纪念币的彩色喷印等业务，生产规模</w:t>
      </w:r>
      <w:r>
        <w:rPr>
          <w:rFonts w:hint="eastAsia"/>
        </w:rPr>
        <w:t>为</w:t>
      </w:r>
      <w:r>
        <w:t>年产</w:t>
      </w:r>
      <w:r>
        <w:rPr>
          <w:rFonts w:hint="eastAsia"/>
        </w:rPr>
        <w:t>铜合金纪念币</w:t>
      </w:r>
      <w:r>
        <w:t>1亿枚。</w:t>
      </w:r>
    </w:p>
    <w:p>
      <w:pPr>
        <w:ind w:firstLine="480"/>
      </w:pPr>
      <w:r>
        <w:t>沈阳造币有限公司于20</w:t>
      </w:r>
      <w:r>
        <w:rPr>
          <w:rFonts w:hint="eastAsia"/>
        </w:rPr>
        <w:t>20</w:t>
      </w:r>
      <w:r>
        <w:t>年</w:t>
      </w:r>
      <w:r>
        <w:rPr>
          <w:rFonts w:hint="eastAsia"/>
        </w:rPr>
        <w:t>5</w:t>
      </w:r>
      <w:r>
        <w:t>月委托辽宁省环保集团辐洁生态环境有限公司编制了《沈阳造币有限公司彩喷机十台购置建设项目环境影响报告表》，并于20</w:t>
      </w:r>
      <w:r>
        <w:rPr>
          <w:rFonts w:hint="eastAsia"/>
        </w:rPr>
        <w:t>20</w:t>
      </w:r>
      <w:r>
        <w:t>年</w:t>
      </w:r>
      <w:r>
        <w:rPr>
          <w:rFonts w:hint="eastAsia"/>
        </w:rPr>
        <w:t>11</w:t>
      </w:r>
      <w:r>
        <w:t>月</w:t>
      </w:r>
      <w:r>
        <w:rPr>
          <w:rFonts w:hint="eastAsia"/>
        </w:rPr>
        <w:t>5</w:t>
      </w:r>
      <w:r>
        <w:t>日获得了沈阳市</w:t>
      </w:r>
      <w:r>
        <w:rPr>
          <w:rFonts w:hint="eastAsia"/>
        </w:rPr>
        <w:t>大东</w:t>
      </w:r>
      <w:r>
        <w:t>生态环境</w:t>
      </w:r>
      <w:r>
        <w:rPr>
          <w:rFonts w:hint="eastAsia"/>
        </w:rPr>
        <w:t>分</w:t>
      </w:r>
      <w:r>
        <w:t>局对该项目的批复，审批文号为</w:t>
      </w:r>
      <w:r>
        <w:rPr>
          <w:rFonts w:hint="eastAsia"/>
        </w:rPr>
        <w:t>（</w:t>
      </w:r>
      <w:r>
        <w:t>沈环</w:t>
      </w:r>
      <w:r>
        <w:rPr>
          <w:rFonts w:hint="eastAsia"/>
        </w:rPr>
        <w:t>大东</w:t>
      </w:r>
      <w:r>
        <w:t>审字[20</w:t>
      </w:r>
      <w:r>
        <w:rPr>
          <w:rFonts w:hint="eastAsia"/>
        </w:rPr>
        <w:t>20</w:t>
      </w:r>
      <w:r>
        <w:t>]</w:t>
      </w:r>
      <w:r>
        <w:rPr>
          <w:rFonts w:hint="eastAsia"/>
        </w:rPr>
        <w:t>057</w:t>
      </w:r>
      <w:r>
        <w:t>号</w:t>
      </w:r>
      <w:r>
        <w:rPr>
          <w:rFonts w:hint="eastAsia"/>
        </w:rPr>
        <w:t>）</w:t>
      </w:r>
      <w:r>
        <w:t>。公司在收到项目环评批复后开始开工建设，并于202</w:t>
      </w:r>
      <w:r>
        <w:rPr>
          <w:rFonts w:hint="eastAsia"/>
        </w:rPr>
        <w:t>1</w:t>
      </w:r>
      <w:r>
        <w:t>年7月建成进入试生产。</w:t>
      </w:r>
    </w:p>
    <w:p>
      <w:pPr>
        <w:pStyle w:val="2"/>
      </w:pPr>
      <w:r>
        <w:rPr>
          <w:rFonts w:hint="eastAsia"/>
        </w:rPr>
        <w:t>项目在收到批复后开始开工建设，建成后进行试生产，在试生产期间，没有收到居民投诉，未发生扰民事件。企业已申请排污许可证，登记编号：</w:t>
      </w:r>
      <w:r>
        <w:t>9121010011766146XY001W</w:t>
      </w:r>
      <w:r>
        <w:rPr>
          <w:rFonts w:hint="eastAsia"/>
        </w:rPr>
        <w:t>。</w:t>
      </w:r>
    </w:p>
    <w:p>
      <w:pPr>
        <w:ind w:firstLine="480"/>
      </w:pPr>
      <w:r>
        <w:t>根据《中华人民共和国环境保护法》、《建设项目环境保护管理条例》（国务院令第682号令）、《建设项目竣工环境保护验收暂行办法》（国环规环评【2017】4号）以及《辽宁省环境保护厅关于加强建设项目竣工环境保护验收工作的通知》（辽环发【2018】9号）的有关要求，按照环境保护设施与主体工程同时设计、同时施工、同时投产使用的“三同时”制度要求，沈阳造币有限公司委托辽宁省环保集团辐洁生态环境有限公司承担了沈阳造币有限公司彩喷机十台购置建设项目的竣工环境保护验收工作。</w:t>
      </w:r>
    </w:p>
    <w:p>
      <w:pPr>
        <w:ind w:firstLine="480"/>
      </w:pPr>
      <w:r>
        <w:t>接受委托后，我单位立即组织技术人员进行现场踏勘，查阅与本项目有关的相关文件（环境影响报告表及其审批部门决定、环保设计资料等），依据《建设项目竣工环境保护验收技术指南 污染影响类》等规范要求，制定了验收工作方案。</w:t>
      </w:r>
    </w:p>
    <w:p>
      <w:pPr>
        <w:ind w:firstLine="480"/>
      </w:pPr>
      <w:r>
        <w:rPr>
          <w:rFonts w:hint="eastAsia"/>
        </w:rPr>
        <w:t>本公司根据工程实际建设情况和环境保护设施落实情况，编制了验收监测方案，收集工程的有关技术资料，沈阳市绿橙环境监测有限公司</w:t>
      </w:r>
      <w:r>
        <w:t>于2021年7月</w:t>
      </w:r>
      <w:r>
        <w:rPr>
          <w:rFonts w:hint="eastAsia"/>
          <w:lang w:val="en-US" w:eastAsia="zh-CN"/>
        </w:rPr>
        <w:t>21</w:t>
      </w:r>
      <w:r>
        <w:t>日~</w:t>
      </w:r>
      <w:r>
        <w:rPr>
          <w:rFonts w:hint="eastAsia"/>
          <w:lang w:val="en-US" w:eastAsia="zh-CN"/>
        </w:rPr>
        <w:t>22</w:t>
      </w:r>
      <w:r>
        <w:t>日进行了现场验收监测，形成</w:t>
      </w:r>
      <w:r>
        <w:rPr>
          <w:rFonts w:hint="eastAsia"/>
        </w:rPr>
        <w:t>《检测报告》（报告编号：SYLC2021</w:t>
      </w:r>
      <w:r>
        <w:rPr>
          <w:rFonts w:hint="eastAsia"/>
          <w:lang w:val="en-US" w:eastAsia="zh-CN"/>
        </w:rPr>
        <w:t>1256</w:t>
      </w:r>
      <w:r>
        <w:rPr>
          <w:rFonts w:hint="eastAsia"/>
        </w:rPr>
        <w:t>）</w:t>
      </w:r>
      <w:r>
        <w:t>。我单位在此基础上编制完成了《沈阳造币有限公司彩喷机十台购置建设项目竣工环境保护验收监测报告》。</w:t>
      </w:r>
    </w:p>
    <w:p>
      <w:pPr>
        <w:ind w:firstLine="480"/>
      </w:pPr>
    </w:p>
    <w:p>
      <w:pPr>
        <w:ind w:firstLine="480"/>
      </w:pPr>
      <w:r>
        <w:br w:type="page"/>
      </w:r>
    </w:p>
    <w:p>
      <w:pPr>
        <w:pStyle w:val="7"/>
        <w:keepNext w:val="0"/>
        <w:keepLines w:val="0"/>
        <w:widowControl w:val="0"/>
      </w:pPr>
      <w:bookmarkStart w:id="8" w:name="_Toc327"/>
      <w:bookmarkStart w:id="9" w:name="_Toc30351"/>
      <w:bookmarkStart w:id="10" w:name="_Toc28910"/>
      <w:bookmarkStart w:id="11" w:name="_Toc19108"/>
      <w:bookmarkStart w:id="12" w:name="_Toc19847"/>
      <w:bookmarkStart w:id="13" w:name="_Toc31332"/>
      <w:bookmarkStart w:id="14" w:name="_Toc47431930"/>
      <w:r>
        <w:t>2  验收依据</w:t>
      </w:r>
      <w:bookmarkEnd w:id="8"/>
      <w:bookmarkEnd w:id="9"/>
      <w:bookmarkEnd w:id="10"/>
      <w:bookmarkEnd w:id="11"/>
      <w:bookmarkEnd w:id="12"/>
      <w:bookmarkEnd w:id="13"/>
      <w:bookmarkEnd w:id="14"/>
    </w:p>
    <w:p>
      <w:pPr>
        <w:pStyle w:val="8"/>
        <w:rPr>
          <w:color w:val="auto"/>
        </w:rPr>
      </w:pPr>
      <w:bookmarkStart w:id="15" w:name="_Toc7052"/>
      <w:bookmarkStart w:id="16" w:name="_Toc5980"/>
      <w:bookmarkStart w:id="17" w:name="_Toc47431931"/>
      <w:bookmarkStart w:id="18" w:name="_Toc25749"/>
      <w:bookmarkStart w:id="19" w:name="_Toc11024"/>
      <w:bookmarkStart w:id="20" w:name="_Toc24158"/>
      <w:bookmarkStart w:id="21" w:name="_Toc1510"/>
      <w:r>
        <w:rPr>
          <w:color w:val="auto"/>
        </w:rPr>
        <w:t>2.1  建设项目环境保护相关法律、法规和规章制度</w:t>
      </w:r>
      <w:bookmarkEnd w:id="15"/>
      <w:bookmarkEnd w:id="16"/>
      <w:bookmarkEnd w:id="17"/>
      <w:bookmarkEnd w:id="18"/>
      <w:bookmarkEnd w:id="19"/>
      <w:bookmarkEnd w:id="20"/>
      <w:bookmarkEnd w:id="21"/>
    </w:p>
    <w:p>
      <w:pPr>
        <w:ind w:firstLine="480"/>
      </w:pPr>
      <w:r>
        <w:rPr>
          <w:rFonts w:hint="eastAsia"/>
        </w:rPr>
        <w:t xml:space="preserve">（1） </w:t>
      </w:r>
      <w:r>
        <w:t>《中华人民共和国环境保护法》（2015.1.1）；</w:t>
      </w:r>
    </w:p>
    <w:p>
      <w:pPr>
        <w:ind w:firstLine="480"/>
      </w:pPr>
      <w:r>
        <w:rPr>
          <w:rFonts w:hint="eastAsia"/>
        </w:rPr>
        <w:t xml:space="preserve">（2） </w:t>
      </w:r>
      <w:r>
        <w:t>《中华人民共和国大气污染防治法》（2018.10.26）；</w:t>
      </w:r>
    </w:p>
    <w:p>
      <w:pPr>
        <w:ind w:firstLine="480"/>
      </w:pPr>
      <w:r>
        <w:rPr>
          <w:rFonts w:hint="eastAsia"/>
        </w:rPr>
        <w:t xml:space="preserve">（3） </w:t>
      </w:r>
      <w:r>
        <w:t>《中华人民共和国水污染防治法》（2018.1.1）；</w:t>
      </w:r>
    </w:p>
    <w:p>
      <w:pPr>
        <w:ind w:firstLine="480"/>
      </w:pPr>
      <w:r>
        <w:rPr>
          <w:rFonts w:hint="eastAsia"/>
        </w:rPr>
        <w:t xml:space="preserve">（4） </w:t>
      </w:r>
      <w:r>
        <w:t>《中华人民共和国环境噪声污染防治法》（2018.12.29）；</w:t>
      </w:r>
    </w:p>
    <w:p>
      <w:pPr>
        <w:ind w:firstLine="480"/>
      </w:pPr>
      <w:r>
        <w:rPr>
          <w:rFonts w:hint="eastAsia"/>
        </w:rPr>
        <w:t xml:space="preserve">（5） </w:t>
      </w:r>
      <w:r>
        <w:t>《中华人民共和国固体废物污染环境防治法》（2020.09.01）；</w:t>
      </w:r>
    </w:p>
    <w:p>
      <w:pPr>
        <w:ind w:firstLine="480"/>
      </w:pPr>
      <w:r>
        <w:rPr>
          <w:rFonts w:hint="eastAsia"/>
        </w:rPr>
        <w:t>（6）</w:t>
      </w:r>
      <w:r>
        <w:t>《建设项目环境保护管理条例》（中华人民共和国国务院令第682号2017.10.1）；</w:t>
      </w:r>
    </w:p>
    <w:p>
      <w:pPr>
        <w:ind w:firstLine="480"/>
      </w:pPr>
      <w:r>
        <w:rPr>
          <w:rFonts w:hint="eastAsia"/>
        </w:rPr>
        <w:t>（7） 《产业结构调整指导目录（2019年本）》（中华人民共和国国家发展和改革委员会令第29号，2019.10.30）</w:t>
      </w:r>
      <w:r>
        <w:t>；</w:t>
      </w:r>
    </w:p>
    <w:p>
      <w:pPr>
        <w:ind w:firstLine="480"/>
      </w:pPr>
      <w:r>
        <w:rPr>
          <w:rFonts w:hint="eastAsia"/>
        </w:rPr>
        <w:t xml:space="preserve">（8） </w:t>
      </w:r>
      <w:r>
        <w:t>《建设项目竣工环境保护验收管理办法》（2002.2.1）；</w:t>
      </w:r>
    </w:p>
    <w:p>
      <w:pPr>
        <w:ind w:firstLine="480"/>
      </w:pPr>
      <w:r>
        <w:rPr>
          <w:rFonts w:hint="eastAsia"/>
        </w:rPr>
        <w:t xml:space="preserve">（9） </w:t>
      </w:r>
      <w:r>
        <w:t>《建设项目竣工环境保护验收暂行办法》（2017.11.20）；</w:t>
      </w:r>
    </w:p>
    <w:p>
      <w:pPr>
        <w:ind w:firstLine="480"/>
      </w:pPr>
      <w:r>
        <w:rPr>
          <w:rFonts w:hint="eastAsia"/>
        </w:rPr>
        <w:t xml:space="preserve">（10） </w:t>
      </w:r>
      <w:r>
        <w:t>《国务院关于修改和废止部分行政法规的决定》（国令第676号）；</w:t>
      </w:r>
    </w:p>
    <w:p>
      <w:pPr>
        <w:ind w:firstLine="480"/>
      </w:pPr>
      <w:r>
        <w:rPr>
          <w:rFonts w:hint="eastAsia"/>
        </w:rPr>
        <w:t xml:space="preserve">（11） </w:t>
      </w:r>
      <w:r>
        <w:t>《辽宁省环境保护厅关于加强建设项目竣工环境保护验收工作的通知》（辽环发【2018】9号）；</w:t>
      </w:r>
    </w:p>
    <w:p>
      <w:pPr>
        <w:ind w:firstLine="480"/>
      </w:pPr>
      <w:r>
        <w:rPr>
          <w:rFonts w:hint="eastAsia"/>
        </w:rPr>
        <w:t xml:space="preserve">（12） </w:t>
      </w:r>
      <w:r>
        <w:t>《辽宁省环境保护条例》（2018.2.1）</w:t>
      </w:r>
      <w:r>
        <w:rPr>
          <w:rFonts w:hint="eastAsia"/>
        </w:rPr>
        <w:t>。</w:t>
      </w:r>
    </w:p>
    <w:p>
      <w:pPr>
        <w:pStyle w:val="8"/>
        <w:keepNext w:val="0"/>
        <w:keepLines w:val="0"/>
        <w:rPr>
          <w:color w:val="auto"/>
        </w:rPr>
      </w:pPr>
      <w:bookmarkStart w:id="22" w:name="_Toc3768"/>
      <w:bookmarkStart w:id="23" w:name="_Toc6737"/>
      <w:bookmarkStart w:id="24" w:name="_Toc47431932"/>
      <w:bookmarkStart w:id="25" w:name="_Toc3941"/>
      <w:bookmarkStart w:id="26" w:name="_Toc21625"/>
      <w:bookmarkStart w:id="27" w:name="_Toc12462"/>
      <w:bookmarkStart w:id="28" w:name="_Toc24173"/>
      <w:r>
        <w:rPr>
          <w:color w:val="auto"/>
        </w:rPr>
        <w:t>2.2  建设项目竣工环境保护验收技术规范</w:t>
      </w:r>
      <w:bookmarkEnd w:id="22"/>
      <w:bookmarkEnd w:id="23"/>
      <w:bookmarkEnd w:id="24"/>
      <w:bookmarkEnd w:id="25"/>
      <w:bookmarkEnd w:id="26"/>
      <w:bookmarkEnd w:id="27"/>
      <w:bookmarkEnd w:id="28"/>
    </w:p>
    <w:p>
      <w:pPr>
        <w:ind w:firstLine="480"/>
      </w:pPr>
      <w:r>
        <w:rPr>
          <w:rFonts w:hint="eastAsia"/>
        </w:rPr>
        <w:t>（</w:t>
      </w:r>
      <w:r>
        <w:t>1</w:t>
      </w:r>
      <w:r>
        <w:rPr>
          <w:rFonts w:hint="eastAsia"/>
        </w:rPr>
        <w:t xml:space="preserve">） </w:t>
      </w:r>
      <w:r>
        <w:t>《建设项目竣工环境保护验收技术指南 污染影响类》（生态环境部公告2018年第9号，2018年5月16日印发）；</w:t>
      </w:r>
    </w:p>
    <w:p>
      <w:pPr>
        <w:ind w:firstLine="480"/>
      </w:pPr>
      <w:r>
        <w:rPr>
          <w:rFonts w:hint="eastAsia"/>
        </w:rPr>
        <w:t>（</w:t>
      </w:r>
      <w:r>
        <w:t>2</w:t>
      </w:r>
      <w:r>
        <w:rPr>
          <w:rFonts w:hint="eastAsia"/>
        </w:rPr>
        <w:t xml:space="preserve">） </w:t>
      </w:r>
      <w:r>
        <w:t>《关于印发建设项目竣工环境保护验收现场检查及审查要点的通知》（环办【2015】113号）；</w:t>
      </w:r>
    </w:p>
    <w:p>
      <w:pPr>
        <w:pStyle w:val="2"/>
      </w:pPr>
      <w:r>
        <w:rPr>
          <w:rFonts w:hint="eastAsia"/>
        </w:rPr>
        <w:t xml:space="preserve">（3） </w:t>
      </w:r>
      <w:r>
        <w:t>《关于印发污染影响类建设项目重大变动清单（试行）的通知》（环办环评函【2020】688号）；</w:t>
      </w:r>
    </w:p>
    <w:p>
      <w:pPr>
        <w:ind w:firstLine="480"/>
      </w:pPr>
      <w:r>
        <w:rPr>
          <w:rFonts w:hint="eastAsia"/>
        </w:rPr>
        <w:t xml:space="preserve">（4） </w:t>
      </w:r>
      <w:r>
        <w:t>《地表水和污水监测技术规范》（HJ/T91-2002）；</w:t>
      </w:r>
    </w:p>
    <w:p>
      <w:pPr>
        <w:ind w:firstLine="480"/>
      </w:pPr>
      <w:r>
        <w:rPr>
          <w:rFonts w:hint="eastAsia"/>
        </w:rPr>
        <w:t xml:space="preserve">（5） </w:t>
      </w:r>
      <w:r>
        <w:t>《环境噪声监测技术规范 城市声环境常规监测》（HJ640-2012）；</w:t>
      </w:r>
    </w:p>
    <w:p>
      <w:pPr>
        <w:ind w:firstLine="480"/>
      </w:pPr>
      <w:r>
        <w:rPr>
          <w:rFonts w:hint="eastAsia"/>
        </w:rPr>
        <w:t xml:space="preserve">（6） </w:t>
      </w:r>
      <w:r>
        <w:t>《环境空气质量手工监测技术规范》（HJ 194-2017）；</w:t>
      </w:r>
    </w:p>
    <w:p>
      <w:pPr>
        <w:pStyle w:val="2"/>
      </w:pPr>
      <w:r>
        <w:rPr>
          <w:rFonts w:hint="eastAsia"/>
        </w:rPr>
        <w:t>（7） 《排污单位自行监测技术指南 总则》（HJ819-2017）。</w:t>
      </w:r>
    </w:p>
    <w:p>
      <w:pPr>
        <w:pStyle w:val="8"/>
        <w:keepNext w:val="0"/>
        <w:keepLines w:val="0"/>
        <w:rPr>
          <w:color w:val="auto"/>
        </w:rPr>
      </w:pPr>
      <w:bookmarkStart w:id="29" w:name="_Toc47431933"/>
      <w:bookmarkStart w:id="30" w:name="_Toc25496"/>
      <w:bookmarkStart w:id="31" w:name="_Toc26774"/>
      <w:bookmarkStart w:id="32" w:name="_Toc9157"/>
      <w:bookmarkStart w:id="33" w:name="_Toc19882"/>
      <w:bookmarkStart w:id="34" w:name="_Toc32380"/>
      <w:bookmarkStart w:id="35" w:name="_Toc21429"/>
      <w:r>
        <w:rPr>
          <w:color w:val="auto"/>
        </w:rPr>
        <w:t>2.3  建设项目环境影响报告书（表）及其审批部门审批决定</w:t>
      </w:r>
      <w:bookmarkEnd w:id="29"/>
      <w:bookmarkEnd w:id="30"/>
      <w:bookmarkEnd w:id="31"/>
      <w:bookmarkEnd w:id="32"/>
      <w:bookmarkEnd w:id="33"/>
      <w:bookmarkEnd w:id="34"/>
      <w:bookmarkEnd w:id="35"/>
    </w:p>
    <w:p>
      <w:pPr>
        <w:ind w:firstLine="480"/>
      </w:pPr>
      <w:r>
        <w:rPr>
          <w:rFonts w:hint="eastAsia"/>
        </w:rPr>
        <w:t xml:space="preserve">（1） </w:t>
      </w:r>
      <w:r>
        <w:t>《沈阳造币有限公司彩喷机十台购置建设项目环境影响报告表》（辽宁省环保集团辐洁生态环境有限公司，20</w:t>
      </w:r>
      <w:r>
        <w:rPr>
          <w:rFonts w:hint="eastAsia"/>
        </w:rPr>
        <w:t>20</w:t>
      </w:r>
      <w:r>
        <w:t>.</w:t>
      </w:r>
      <w:r>
        <w:rPr>
          <w:rFonts w:hint="eastAsia"/>
        </w:rPr>
        <w:t>10</w:t>
      </w:r>
      <w:r>
        <w:t>）；</w:t>
      </w:r>
    </w:p>
    <w:p>
      <w:pPr>
        <w:ind w:firstLine="480"/>
      </w:pPr>
      <w:r>
        <w:rPr>
          <w:rFonts w:hint="eastAsia"/>
        </w:rPr>
        <w:t xml:space="preserve">（2） </w:t>
      </w:r>
      <w:r>
        <w:t>《关于沈阳造币有限公司彩喷机十台购置建设项目环境影响报告表的批复》（沈环</w:t>
      </w:r>
      <w:r>
        <w:rPr>
          <w:rFonts w:hint="eastAsia"/>
        </w:rPr>
        <w:t>大东</w:t>
      </w:r>
      <w:r>
        <w:t>审字[20</w:t>
      </w:r>
      <w:r>
        <w:rPr>
          <w:rFonts w:hint="eastAsia"/>
        </w:rPr>
        <w:t>20</w:t>
      </w:r>
      <w:r>
        <w:t>]</w:t>
      </w:r>
      <w:r>
        <w:rPr>
          <w:rFonts w:hint="eastAsia"/>
        </w:rPr>
        <w:t>057</w:t>
      </w:r>
      <w:r>
        <w:t>号，20</w:t>
      </w:r>
      <w:r>
        <w:rPr>
          <w:rFonts w:hint="eastAsia"/>
        </w:rPr>
        <w:t>20</w:t>
      </w:r>
      <w:r>
        <w:t>.</w:t>
      </w:r>
      <w:r>
        <w:rPr>
          <w:rFonts w:hint="eastAsia"/>
        </w:rPr>
        <w:t>11</w:t>
      </w:r>
      <w:r>
        <w:t>.</w:t>
      </w:r>
      <w:r>
        <w:rPr>
          <w:rFonts w:hint="eastAsia"/>
        </w:rPr>
        <w:t>05</w:t>
      </w:r>
      <w:r>
        <w:t>）。</w:t>
      </w:r>
    </w:p>
    <w:p>
      <w:pPr>
        <w:pStyle w:val="8"/>
        <w:keepNext w:val="0"/>
        <w:keepLines w:val="0"/>
        <w:rPr>
          <w:color w:val="auto"/>
        </w:rPr>
      </w:pPr>
      <w:bookmarkStart w:id="36" w:name="_Toc25414"/>
      <w:bookmarkStart w:id="37" w:name="_Toc14841"/>
      <w:bookmarkStart w:id="38" w:name="_Toc47431934"/>
      <w:bookmarkStart w:id="39" w:name="_Toc1980"/>
      <w:bookmarkStart w:id="40" w:name="_Toc15567"/>
      <w:bookmarkStart w:id="41" w:name="_Toc7849"/>
      <w:bookmarkStart w:id="42" w:name="_Toc2749"/>
      <w:r>
        <w:rPr>
          <w:color w:val="auto"/>
        </w:rPr>
        <w:t>2.4  其他相关文件</w:t>
      </w:r>
      <w:bookmarkEnd w:id="36"/>
      <w:bookmarkEnd w:id="37"/>
      <w:bookmarkEnd w:id="38"/>
      <w:bookmarkEnd w:id="39"/>
      <w:bookmarkEnd w:id="40"/>
      <w:bookmarkEnd w:id="41"/>
      <w:bookmarkEnd w:id="42"/>
    </w:p>
    <w:p>
      <w:pPr>
        <w:ind w:firstLine="480"/>
      </w:pPr>
      <w:r>
        <w:rPr>
          <w:rFonts w:hint="eastAsia"/>
        </w:rPr>
        <w:t>（1） 《检测报告》（报告编号：SYLC2021</w:t>
      </w:r>
      <w:r>
        <w:rPr>
          <w:rFonts w:hint="eastAsia"/>
          <w:lang w:val="en-US" w:eastAsia="zh-CN"/>
        </w:rPr>
        <w:t>1256</w:t>
      </w:r>
      <w:r>
        <w:rPr>
          <w:rFonts w:hint="eastAsia"/>
        </w:rPr>
        <w:t>，沈阳市绿橙环境监测有限公司）</w:t>
      </w:r>
      <w:r>
        <w:t>；</w:t>
      </w:r>
    </w:p>
    <w:p>
      <w:pPr>
        <w:ind w:firstLine="480"/>
      </w:pPr>
      <w:r>
        <w:rPr>
          <w:rFonts w:hint="eastAsia"/>
        </w:rPr>
        <w:t xml:space="preserve">（2） </w:t>
      </w:r>
      <w:r>
        <w:t>建设单位提供的其他资料。</w:t>
      </w:r>
      <w:r>
        <w:rPr>
          <w:rFonts w:hint="eastAsia"/>
        </w:rPr>
        <w:t xml:space="preserve"> </w:t>
      </w:r>
    </w:p>
    <w:p>
      <w:pPr>
        <w:spacing w:before="72" w:after="72"/>
        <w:ind w:firstLine="480"/>
      </w:pPr>
      <w:r>
        <w:br w:type="page"/>
      </w:r>
    </w:p>
    <w:p>
      <w:pPr>
        <w:pStyle w:val="7"/>
        <w:keepNext w:val="0"/>
        <w:keepLines w:val="0"/>
        <w:widowControl w:val="0"/>
      </w:pPr>
      <w:bookmarkStart w:id="43" w:name="_Toc5153"/>
      <w:bookmarkStart w:id="44" w:name="_Toc29848"/>
      <w:bookmarkStart w:id="45" w:name="_Toc20249"/>
      <w:bookmarkStart w:id="46" w:name="_Toc47431935"/>
      <w:bookmarkStart w:id="47" w:name="_Toc30551"/>
      <w:bookmarkStart w:id="48" w:name="_Toc23523"/>
      <w:bookmarkStart w:id="49" w:name="_Toc30484"/>
      <w:r>
        <w:t>3  项目建设情况</w:t>
      </w:r>
      <w:bookmarkEnd w:id="43"/>
      <w:bookmarkEnd w:id="44"/>
      <w:bookmarkEnd w:id="45"/>
      <w:bookmarkEnd w:id="46"/>
      <w:bookmarkEnd w:id="47"/>
      <w:bookmarkEnd w:id="48"/>
      <w:bookmarkEnd w:id="49"/>
    </w:p>
    <w:p>
      <w:pPr>
        <w:pStyle w:val="8"/>
        <w:keepNext w:val="0"/>
        <w:keepLines w:val="0"/>
        <w:rPr>
          <w:color w:val="auto"/>
        </w:rPr>
      </w:pPr>
      <w:bookmarkStart w:id="50" w:name="_Toc23397"/>
      <w:bookmarkStart w:id="51" w:name="_Toc2356"/>
      <w:bookmarkStart w:id="52" w:name="_Toc5002"/>
      <w:bookmarkStart w:id="53" w:name="_Toc47431936"/>
      <w:bookmarkStart w:id="54" w:name="_Toc25123"/>
      <w:bookmarkStart w:id="55" w:name="_Toc2701"/>
      <w:bookmarkStart w:id="56" w:name="_Toc13600"/>
      <w:r>
        <w:rPr>
          <w:color w:val="auto"/>
        </w:rPr>
        <w:t>3.1  地理位置及平面布置</w:t>
      </w:r>
      <w:bookmarkEnd w:id="50"/>
      <w:bookmarkEnd w:id="51"/>
      <w:bookmarkEnd w:id="52"/>
      <w:bookmarkEnd w:id="53"/>
      <w:bookmarkEnd w:id="54"/>
      <w:bookmarkEnd w:id="55"/>
      <w:bookmarkEnd w:id="56"/>
    </w:p>
    <w:p>
      <w:pPr>
        <w:pStyle w:val="9"/>
      </w:pPr>
      <w:bookmarkStart w:id="57" w:name="_Toc17154"/>
      <w:bookmarkStart w:id="58" w:name="_Toc25383"/>
      <w:bookmarkStart w:id="59" w:name="_Toc14393"/>
      <w:bookmarkStart w:id="60" w:name="_Toc32064"/>
      <w:bookmarkStart w:id="61" w:name="_Toc2560"/>
      <w:r>
        <w:t>3.1.1  地理位置</w:t>
      </w:r>
      <w:bookmarkEnd w:id="57"/>
      <w:bookmarkEnd w:id="58"/>
      <w:bookmarkEnd w:id="59"/>
      <w:bookmarkEnd w:id="60"/>
      <w:bookmarkEnd w:id="61"/>
    </w:p>
    <w:p>
      <w:pPr>
        <w:spacing w:before="72" w:after="72"/>
        <w:ind w:firstLine="480"/>
      </w:pPr>
      <w:r>
        <w:t>本项目位于沈阳市大东区大东路138号，厂中心地理坐标为东经123.47159743°、北纬41.79720640°</w:t>
      </w:r>
      <w:r>
        <w:rPr>
          <w:rFonts w:hint="eastAsia"/>
        </w:rPr>
        <w:t>。</w:t>
      </w:r>
      <w:r>
        <w:t>项目验收期间，周围的环境敏感点与环评阶段相同，未发生增减，具体见下表。</w:t>
      </w:r>
    </w:p>
    <w:p>
      <w:pPr>
        <w:pStyle w:val="56"/>
      </w:pPr>
    </w:p>
    <w:p>
      <w:pPr>
        <w:pStyle w:val="58"/>
      </w:pPr>
      <w:r>
        <w:t>表3.1-1                  项目周围环境敏感点一览表</w:t>
      </w:r>
      <w:r>
        <w:rPr>
          <w:rFonts w:hint="eastAsia"/>
        </w:rPr>
        <w:t>（大气环境）</w:t>
      </w:r>
    </w:p>
    <w:tbl>
      <w:tblPr>
        <w:tblStyle w:val="151"/>
        <w:tblW w:w="4998"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2150"/>
        <w:gridCol w:w="1761"/>
        <w:gridCol w:w="1430"/>
        <w:gridCol w:w="1430"/>
        <w:gridCol w:w="143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Merge w:val="restart"/>
            <w:vAlign w:val="center"/>
          </w:tcPr>
          <w:p>
            <w:pPr>
              <w:pStyle w:val="56"/>
              <w:rPr>
                <w:sz w:val="18"/>
                <w:szCs w:val="18"/>
              </w:rPr>
            </w:pPr>
            <w:r>
              <w:rPr>
                <w:rFonts w:hint="eastAsia"/>
                <w:sz w:val="18"/>
                <w:szCs w:val="18"/>
              </w:rPr>
              <w:t>编号</w:t>
            </w:r>
          </w:p>
        </w:tc>
        <w:tc>
          <w:tcPr>
            <w:tcW w:w="1194" w:type="pct"/>
            <w:vMerge w:val="restart"/>
            <w:vAlign w:val="center"/>
          </w:tcPr>
          <w:p>
            <w:pPr>
              <w:pStyle w:val="56"/>
              <w:rPr>
                <w:sz w:val="18"/>
                <w:szCs w:val="18"/>
              </w:rPr>
            </w:pPr>
            <w:r>
              <w:rPr>
                <w:rFonts w:hint="eastAsia"/>
                <w:sz w:val="18"/>
                <w:szCs w:val="18"/>
              </w:rPr>
              <w:t>名称</w:t>
            </w:r>
          </w:p>
        </w:tc>
        <w:tc>
          <w:tcPr>
            <w:tcW w:w="978" w:type="pct"/>
            <w:vMerge w:val="restart"/>
            <w:vAlign w:val="center"/>
          </w:tcPr>
          <w:p>
            <w:pPr>
              <w:pStyle w:val="56"/>
              <w:rPr>
                <w:sz w:val="18"/>
                <w:szCs w:val="18"/>
              </w:rPr>
            </w:pPr>
            <w:r>
              <w:rPr>
                <w:rFonts w:hint="eastAsia"/>
                <w:sz w:val="18"/>
                <w:szCs w:val="18"/>
              </w:rPr>
              <w:t>保护对象</w:t>
            </w:r>
          </w:p>
        </w:tc>
        <w:tc>
          <w:tcPr>
            <w:tcW w:w="794" w:type="pct"/>
            <w:vMerge w:val="restart"/>
            <w:vAlign w:val="center"/>
          </w:tcPr>
          <w:p>
            <w:pPr>
              <w:pStyle w:val="56"/>
              <w:rPr>
                <w:sz w:val="18"/>
                <w:szCs w:val="18"/>
              </w:rPr>
            </w:pPr>
            <w:r>
              <w:rPr>
                <w:sz w:val="18"/>
                <w:szCs w:val="18"/>
              </w:rPr>
              <w:t>相对厂址方位</w:t>
            </w:r>
          </w:p>
        </w:tc>
        <w:tc>
          <w:tcPr>
            <w:tcW w:w="794" w:type="pct"/>
            <w:vMerge w:val="restart"/>
            <w:vAlign w:val="center"/>
          </w:tcPr>
          <w:p>
            <w:pPr>
              <w:pStyle w:val="56"/>
              <w:rPr>
                <w:sz w:val="18"/>
                <w:szCs w:val="18"/>
              </w:rPr>
            </w:pPr>
            <w:r>
              <w:rPr>
                <w:sz w:val="18"/>
                <w:szCs w:val="18"/>
              </w:rPr>
              <w:t>距项目距离（m）</w:t>
            </w:r>
          </w:p>
        </w:tc>
        <w:tc>
          <w:tcPr>
            <w:tcW w:w="794" w:type="pct"/>
            <w:vMerge w:val="restart"/>
            <w:vAlign w:val="center"/>
          </w:tcPr>
          <w:p>
            <w:pPr>
              <w:pStyle w:val="56"/>
              <w:rPr>
                <w:sz w:val="18"/>
                <w:szCs w:val="18"/>
              </w:rPr>
            </w:pPr>
            <w:r>
              <w:rPr>
                <w:sz w:val="18"/>
                <w:szCs w:val="18"/>
              </w:rPr>
              <w:t>距厂界距离（m）</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Merge w:val="continue"/>
            <w:vAlign w:val="center"/>
          </w:tcPr>
          <w:p>
            <w:pPr>
              <w:pStyle w:val="56"/>
              <w:rPr>
                <w:sz w:val="18"/>
                <w:szCs w:val="18"/>
              </w:rPr>
            </w:pPr>
          </w:p>
        </w:tc>
        <w:tc>
          <w:tcPr>
            <w:tcW w:w="1194" w:type="pct"/>
            <w:vMerge w:val="continue"/>
            <w:vAlign w:val="center"/>
          </w:tcPr>
          <w:p>
            <w:pPr>
              <w:pStyle w:val="56"/>
              <w:rPr>
                <w:sz w:val="18"/>
                <w:szCs w:val="18"/>
              </w:rPr>
            </w:pPr>
          </w:p>
        </w:tc>
        <w:tc>
          <w:tcPr>
            <w:tcW w:w="978" w:type="pct"/>
            <w:vMerge w:val="continue"/>
            <w:vAlign w:val="center"/>
          </w:tcPr>
          <w:p>
            <w:pPr>
              <w:pStyle w:val="56"/>
              <w:rPr>
                <w:sz w:val="18"/>
                <w:szCs w:val="18"/>
              </w:rPr>
            </w:pPr>
          </w:p>
        </w:tc>
        <w:tc>
          <w:tcPr>
            <w:tcW w:w="794" w:type="pct"/>
            <w:vMerge w:val="continue"/>
            <w:vAlign w:val="center"/>
          </w:tcPr>
          <w:p>
            <w:pPr>
              <w:pStyle w:val="56"/>
              <w:rPr>
                <w:sz w:val="18"/>
                <w:szCs w:val="18"/>
              </w:rPr>
            </w:pPr>
          </w:p>
        </w:tc>
        <w:tc>
          <w:tcPr>
            <w:tcW w:w="794" w:type="pct"/>
            <w:vMerge w:val="continue"/>
            <w:vAlign w:val="center"/>
          </w:tcPr>
          <w:p>
            <w:pPr>
              <w:pStyle w:val="56"/>
              <w:rPr>
                <w:sz w:val="18"/>
                <w:szCs w:val="18"/>
              </w:rPr>
            </w:pPr>
          </w:p>
        </w:tc>
        <w:tc>
          <w:tcPr>
            <w:tcW w:w="794" w:type="pct"/>
            <w:vMerge w:val="continue"/>
            <w:vAlign w:val="center"/>
          </w:tcPr>
          <w:p>
            <w:pPr>
              <w:pStyle w:val="56"/>
              <w:rPr>
                <w:sz w:val="18"/>
                <w:szCs w:val="18"/>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1</w:t>
            </w:r>
          </w:p>
        </w:tc>
        <w:tc>
          <w:tcPr>
            <w:tcW w:w="1194" w:type="pct"/>
            <w:vAlign w:val="center"/>
          </w:tcPr>
          <w:p>
            <w:pPr>
              <w:pStyle w:val="56"/>
              <w:rPr>
                <w:sz w:val="18"/>
                <w:szCs w:val="18"/>
              </w:rPr>
            </w:pPr>
            <w:r>
              <w:rPr>
                <w:rFonts w:hint="eastAsia"/>
                <w:sz w:val="18"/>
                <w:szCs w:val="18"/>
              </w:rPr>
              <w:t>小东街道</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S</w:t>
            </w:r>
          </w:p>
        </w:tc>
        <w:tc>
          <w:tcPr>
            <w:tcW w:w="794" w:type="pct"/>
            <w:vAlign w:val="center"/>
          </w:tcPr>
          <w:p>
            <w:pPr>
              <w:pStyle w:val="56"/>
              <w:rPr>
                <w:sz w:val="18"/>
                <w:szCs w:val="18"/>
              </w:rPr>
            </w:pPr>
            <w:r>
              <w:rPr>
                <w:rFonts w:hint="eastAsia"/>
                <w:sz w:val="18"/>
                <w:szCs w:val="18"/>
              </w:rPr>
              <w:t>165</w:t>
            </w:r>
          </w:p>
        </w:tc>
        <w:tc>
          <w:tcPr>
            <w:tcW w:w="794" w:type="pct"/>
            <w:vAlign w:val="center"/>
          </w:tcPr>
          <w:p>
            <w:pPr>
              <w:pStyle w:val="56"/>
              <w:rPr>
                <w:sz w:val="18"/>
                <w:szCs w:val="18"/>
              </w:rPr>
            </w:pPr>
            <w:r>
              <w:rPr>
                <w:rFonts w:hint="eastAsia"/>
                <w:sz w:val="18"/>
                <w:szCs w:val="18"/>
              </w:rPr>
              <w:t>80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2</w:t>
            </w:r>
          </w:p>
        </w:tc>
        <w:tc>
          <w:tcPr>
            <w:tcW w:w="1194" w:type="pct"/>
            <w:vAlign w:val="center"/>
          </w:tcPr>
          <w:p>
            <w:pPr>
              <w:pStyle w:val="56"/>
              <w:rPr>
                <w:sz w:val="18"/>
                <w:szCs w:val="18"/>
              </w:rPr>
            </w:pPr>
            <w:r>
              <w:rPr>
                <w:rFonts w:hint="eastAsia"/>
                <w:sz w:val="18"/>
                <w:szCs w:val="18"/>
              </w:rPr>
              <w:t>万泉公园</w:t>
            </w:r>
          </w:p>
        </w:tc>
        <w:tc>
          <w:tcPr>
            <w:tcW w:w="978" w:type="pct"/>
            <w:vAlign w:val="center"/>
          </w:tcPr>
          <w:p>
            <w:pPr>
              <w:pStyle w:val="56"/>
              <w:rPr>
                <w:sz w:val="18"/>
                <w:szCs w:val="18"/>
              </w:rPr>
            </w:pPr>
            <w:r>
              <w:rPr>
                <w:rFonts w:hint="eastAsia"/>
                <w:sz w:val="18"/>
                <w:szCs w:val="18"/>
              </w:rPr>
              <w:t>生态环境</w:t>
            </w:r>
          </w:p>
        </w:tc>
        <w:tc>
          <w:tcPr>
            <w:tcW w:w="794" w:type="pct"/>
            <w:vAlign w:val="center"/>
          </w:tcPr>
          <w:p>
            <w:pPr>
              <w:pStyle w:val="56"/>
              <w:rPr>
                <w:sz w:val="18"/>
                <w:szCs w:val="18"/>
              </w:rPr>
            </w:pPr>
            <w:r>
              <w:rPr>
                <w:rFonts w:hint="eastAsia"/>
                <w:sz w:val="18"/>
                <w:szCs w:val="18"/>
              </w:rPr>
              <w:t>S</w:t>
            </w:r>
          </w:p>
        </w:tc>
        <w:tc>
          <w:tcPr>
            <w:tcW w:w="794" w:type="pct"/>
            <w:vAlign w:val="center"/>
          </w:tcPr>
          <w:p>
            <w:pPr>
              <w:pStyle w:val="56"/>
              <w:rPr>
                <w:sz w:val="18"/>
                <w:szCs w:val="18"/>
              </w:rPr>
            </w:pPr>
            <w:r>
              <w:rPr>
                <w:rFonts w:hint="eastAsia"/>
                <w:sz w:val="18"/>
                <w:szCs w:val="18"/>
              </w:rPr>
              <w:t>830</w:t>
            </w:r>
          </w:p>
        </w:tc>
        <w:tc>
          <w:tcPr>
            <w:tcW w:w="794" w:type="pct"/>
            <w:vAlign w:val="center"/>
          </w:tcPr>
          <w:p>
            <w:pPr>
              <w:pStyle w:val="56"/>
              <w:rPr>
                <w:sz w:val="18"/>
                <w:szCs w:val="18"/>
              </w:rPr>
            </w:pPr>
            <w:r>
              <w:rPr>
                <w:rFonts w:hint="eastAsia"/>
                <w:sz w:val="18"/>
                <w:szCs w:val="18"/>
              </w:rPr>
              <w:t>710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3</w:t>
            </w:r>
          </w:p>
        </w:tc>
        <w:tc>
          <w:tcPr>
            <w:tcW w:w="1194" w:type="pct"/>
            <w:vAlign w:val="center"/>
          </w:tcPr>
          <w:p>
            <w:pPr>
              <w:pStyle w:val="56"/>
              <w:rPr>
                <w:sz w:val="18"/>
                <w:szCs w:val="18"/>
              </w:rPr>
            </w:pPr>
            <w:r>
              <w:rPr>
                <w:rFonts w:hint="eastAsia"/>
                <w:sz w:val="18"/>
                <w:szCs w:val="18"/>
              </w:rPr>
              <w:t>万柳塘公园</w:t>
            </w:r>
          </w:p>
        </w:tc>
        <w:tc>
          <w:tcPr>
            <w:tcW w:w="978" w:type="pct"/>
            <w:vAlign w:val="center"/>
          </w:tcPr>
          <w:p>
            <w:pPr>
              <w:pStyle w:val="56"/>
              <w:rPr>
                <w:sz w:val="18"/>
                <w:szCs w:val="18"/>
              </w:rPr>
            </w:pPr>
            <w:r>
              <w:rPr>
                <w:rFonts w:hint="eastAsia"/>
                <w:sz w:val="18"/>
                <w:szCs w:val="18"/>
              </w:rPr>
              <w:t>生态环境</w:t>
            </w:r>
          </w:p>
        </w:tc>
        <w:tc>
          <w:tcPr>
            <w:tcW w:w="794" w:type="pct"/>
            <w:vAlign w:val="center"/>
          </w:tcPr>
          <w:p>
            <w:pPr>
              <w:pStyle w:val="56"/>
              <w:rPr>
                <w:sz w:val="18"/>
                <w:szCs w:val="18"/>
              </w:rPr>
            </w:pPr>
            <w:r>
              <w:rPr>
                <w:rFonts w:hint="eastAsia"/>
                <w:sz w:val="18"/>
                <w:szCs w:val="18"/>
              </w:rPr>
              <w:t>SW</w:t>
            </w:r>
          </w:p>
        </w:tc>
        <w:tc>
          <w:tcPr>
            <w:tcW w:w="794" w:type="pct"/>
            <w:vAlign w:val="center"/>
          </w:tcPr>
          <w:p>
            <w:pPr>
              <w:pStyle w:val="56"/>
              <w:rPr>
                <w:sz w:val="18"/>
                <w:szCs w:val="18"/>
              </w:rPr>
            </w:pPr>
            <w:r>
              <w:rPr>
                <w:rFonts w:hint="eastAsia"/>
                <w:sz w:val="18"/>
                <w:szCs w:val="18"/>
              </w:rPr>
              <w:t>2200</w:t>
            </w:r>
          </w:p>
        </w:tc>
        <w:tc>
          <w:tcPr>
            <w:tcW w:w="794" w:type="pct"/>
            <w:vAlign w:val="center"/>
          </w:tcPr>
          <w:p>
            <w:pPr>
              <w:pStyle w:val="56"/>
              <w:rPr>
                <w:sz w:val="18"/>
                <w:szCs w:val="18"/>
              </w:rPr>
            </w:pPr>
            <w:r>
              <w:rPr>
                <w:rFonts w:hint="eastAsia"/>
                <w:sz w:val="18"/>
                <w:szCs w:val="18"/>
              </w:rPr>
              <w:t>2000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4</w:t>
            </w:r>
          </w:p>
        </w:tc>
        <w:tc>
          <w:tcPr>
            <w:tcW w:w="1194" w:type="pct"/>
            <w:vAlign w:val="center"/>
          </w:tcPr>
          <w:p>
            <w:pPr>
              <w:pStyle w:val="56"/>
              <w:rPr>
                <w:sz w:val="18"/>
                <w:szCs w:val="18"/>
              </w:rPr>
            </w:pPr>
            <w:r>
              <w:rPr>
                <w:rFonts w:hint="eastAsia"/>
                <w:sz w:val="18"/>
                <w:szCs w:val="18"/>
              </w:rPr>
              <w:t>沈阳故宫博物馆</w:t>
            </w:r>
          </w:p>
        </w:tc>
        <w:tc>
          <w:tcPr>
            <w:tcW w:w="978" w:type="pct"/>
            <w:vAlign w:val="center"/>
          </w:tcPr>
          <w:p>
            <w:pPr>
              <w:pStyle w:val="56"/>
              <w:rPr>
                <w:sz w:val="18"/>
                <w:szCs w:val="18"/>
              </w:rPr>
            </w:pPr>
            <w:r>
              <w:rPr>
                <w:rFonts w:hint="eastAsia"/>
                <w:sz w:val="18"/>
                <w:szCs w:val="18"/>
              </w:rPr>
              <w:t>名胜古迹</w:t>
            </w:r>
          </w:p>
        </w:tc>
        <w:tc>
          <w:tcPr>
            <w:tcW w:w="794" w:type="pct"/>
            <w:vAlign w:val="center"/>
          </w:tcPr>
          <w:p>
            <w:pPr>
              <w:pStyle w:val="56"/>
              <w:rPr>
                <w:sz w:val="18"/>
                <w:szCs w:val="18"/>
              </w:rPr>
            </w:pPr>
            <w:r>
              <w:rPr>
                <w:rFonts w:hint="eastAsia"/>
                <w:sz w:val="18"/>
                <w:szCs w:val="18"/>
              </w:rPr>
              <w:t>W</w:t>
            </w:r>
          </w:p>
        </w:tc>
        <w:tc>
          <w:tcPr>
            <w:tcW w:w="794" w:type="pct"/>
            <w:vAlign w:val="center"/>
          </w:tcPr>
          <w:p>
            <w:pPr>
              <w:pStyle w:val="56"/>
              <w:rPr>
                <w:sz w:val="18"/>
                <w:szCs w:val="18"/>
              </w:rPr>
            </w:pPr>
            <w:r>
              <w:rPr>
                <w:rFonts w:hint="eastAsia"/>
                <w:sz w:val="18"/>
                <w:szCs w:val="18"/>
              </w:rPr>
              <w:t>1900</w:t>
            </w:r>
          </w:p>
        </w:tc>
        <w:tc>
          <w:tcPr>
            <w:tcW w:w="794" w:type="pct"/>
            <w:vAlign w:val="center"/>
          </w:tcPr>
          <w:p>
            <w:pPr>
              <w:pStyle w:val="56"/>
              <w:rPr>
                <w:sz w:val="18"/>
                <w:szCs w:val="18"/>
              </w:rPr>
            </w:pPr>
            <w:r>
              <w:rPr>
                <w:rFonts w:hint="eastAsia"/>
                <w:sz w:val="18"/>
                <w:szCs w:val="18"/>
              </w:rPr>
              <w:t>1800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5</w:t>
            </w:r>
          </w:p>
        </w:tc>
        <w:tc>
          <w:tcPr>
            <w:tcW w:w="1194" w:type="pct"/>
            <w:vAlign w:val="center"/>
          </w:tcPr>
          <w:p>
            <w:pPr>
              <w:pStyle w:val="56"/>
              <w:rPr>
                <w:sz w:val="18"/>
                <w:szCs w:val="18"/>
              </w:rPr>
            </w:pPr>
            <w:r>
              <w:rPr>
                <w:rFonts w:hint="eastAsia"/>
                <w:sz w:val="18"/>
                <w:szCs w:val="18"/>
              </w:rPr>
              <w:t>大东公园</w:t>
            </w:r>
          </w:p>
        </w:tc>
        <w:tc>
          <w:tcPr>
            <w:tcW w:w="978" w:type="pct"/>
            <w:vAlign w:val="center"/>
          </w:tcPr>
          <w:p>
            <w:pPr>
              <w:pStyle w:val="56"/>
              <w:rPr>
                <w:sz w:val="18"/>
                <w:szCs w:val="18"/>
              </w:rPr>
            </w:pPr>
            <w:r>
              <w:rPr>
                <w:rFonts w:hint="eastAsia"/>
                <w:sz w:val="18"/>
                <w:szCs w:val="18"/>
              </w:rPr>
              <w:t>生态环境</w:t>
            </w:r>
          </w:p>
        </w:tc>
        <w:tc>
          <w:tcPr>
            <w:tcW w:w="794" w:type="pct"/>
            <w:vAlign w:val="center"/>
          </w:tcPr>
          <w:p>
            <w:pPr>
              <w:pStyle w:val="56"/>
              <w:rPr>
                <w:sz w:val="18"/>
                <w:szCs w:val="18"/>
              </w:rPr>
            </w:pPr>
            <w:r>
              <w:rPr>
                <w:rFonts w:hint="eastAsia"/>
                <w:sz w:val="18"/>
                <w:szCs w:val="18"/>
              </w:rPr>
              <w:t>E</w:t>
            </w:r>
          </w:p>
        </w:tc>
        <w:tc>
          <w:tcPr>
            <w:tcW w:w="794" w:type="pct"/>
            <w:vAlign w:val="center"/>
          </w:tcPr>
          <w:p>
            <w:pPr>
              <w:pStyle w:val="56"/>
              <w:rPr>
                <w:sz w:val="18"/>
                <w:szCs w:val="18"/>
              </w:rPr>
            </w:pPr>
            <w:r>
              <w:rPr>
                <w:rFonts w:hint="eastAsia"/>
                <w:sz w:val="18"/>
                <w:szCs w:val="18"/>
              </w:rPr>
              <w:t>1150</w:t>
            </w:r>
          </w:p>
        </w:tc>
        <w:tc>
          <w:tcPr>
            <w:tcW w:w="794" w:type="pct"/>
            <w:vAlign w:val="center"/>
          </w:tcPr>
          <w:p>
            <w:pPr>
              <w:pStyle w:val="56"/>
              <w:rPr>
                <w:sz w:val="18"/>
                <w:szCs w:val="18"/>
              </w:rPr>
            </w:pPr>
            <w:r>
              <w:rPr>
                <w:rFonts w:hint="eastAsia"/>
                <w:sz w:val="18"/>
                <w:szCs w:val="18"/>
              </w:rPr>
              <w:t>1200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6</w:t>
            </w:r>
          </w:p>
        </w:tc>
        <w:tc>
          <w:tcPr>
            <w:tcW w:w="1194" w:type="pct"/>
            <w:vAlign w:val="center"/>
          </w:tcPr>
          <w:p>
            <w:pPr>
              <w:pStyle w:val="56"/>
              <w:rPr>
                <w:sz w:val="18"/>
                <w:szCs w:val="18"/>
              </w:rPr>
            </w:pPr>
            <w:r>
              <w:rPr>
                <w:rFonts w:hint="eastAsia"/>
                <w:sz w:val="18"/>
                <w:szCs w:val="18"/>
              </w:rPr>
              <w:t>沈阳市第一中学</w:t>
            </w:r>
          </w:p>
        </w:tc>
        <w:tc>
          <w:tcPr>
            <w:tcW w:w="978" w:type="pct"/>
            <w:vAlign w:val="center"/>
          </w:tcPr>
          <w:p>
            <w:pPr>
              <w:pStyle w:val="56"/>
              <w:rPr>
                <w:sz w:val="18"/>
                <w:szCs w:val="18"/>
              </w:rPr>
            </w:pPr>
            <w:r>
              <w:rPr>
                <w:rFonts w:hint="eastAsia"/>
                <w:sz w:val="18"/>
                <w:szCs w:val="18"/>
              </w:rPr>
              <w:t>师生</w:t>
            </w:r>
          </w:p>
        </w:tc>
        <w:tc>
          <w:tcPr>
            <w:tcW w:w="794" w:type="pct"/>
            <w:vAlign w:val="center"/>
          </w:tcPr>
          <w:p>
            <w:pPr>
              <w:pStyle w:val="56"/>
              <w:rPr>
                <w:sz w:val="18"/>
                <w:szCs w:val="18"/>
              </w:rPr>
            </w:pPr>
            <w:r>
              <w:rPr>
                <w:rFonts w:hint="eastAsia"/>
                <w:sz w:val="18"/>
                <w:szCs w:val="18"/>
              </w:rPr>
              <w:t>SE</w:t>
            </w:r>
          </w:p>
        </w:tc>
        <w:tc>
          <w:tcPr>
            <w:tcW w:w="794" w:type="pct"/>
            <w:vAlign w:val="center"/>
          </w:tcPr>
          <w:p>
            <w:pPr>
              <w:pStyle w:val="56"/>
              <w:rPr>
                <w:sz w:val="18"/>
                <w:szCs w:val="18"/>
              </w:rPr>
            </w:pPr>
            <w:r>
              <w:rPr>
                <w:rFonts w:hint="eastAsia"/>
                <w:sz w:val="18"/>
                <w:szCs w:val="18"/>
              </w:rPr>
              <w:t>1210</w:t>
            </w:r>
          </w:p>
        </w:tc>
        <w:tc>
          <w:tcPr>
            <w:tcW w:w="794" w:type="pct"/>
            <w:vAlign w:val="center"/>
          </w:tcPr>
          <w:p>
            <w:pPr>
              <w:pStyle w:val="56"/>
              <w:rPr>
                <w:sz w:val="18"/>
                <w:szCs w:val="18"/>
              </w:rPr>
            </w:pPr>
            <w:r>
              <w:rPr>
                <w:rFonts w:hint="eastAsia"/>
                <w:sz w:val="18"/>
                <w:szCs w:val="18"/>
              </w:rPr>
              <w:t>1200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7</w:t>
            </w:r>
          </w:p>
        </w:tc>
        <w:tc>
          <w:tcPr>
            <w:tcW w:w="1194" w:type="pct"/>
            <w:vAlign w:val="center"/>
          </w:tcPr>
          <w:p>
            <w:pPr>
              <w:pStyle w:val="56"/>
              <w:rPr>
                <w:sz w:val="18"/>
                <w:szCs w:val="18"/>
              </w:rPr>
            </w:pPr>
            <w:r>
              <w:rPr>
                <w:rFonts w:hint="eastAsia"/>
                <w:sz w:val="18"/>
                <w:szCs w:val="18"/>
              </w:rPr>
              <w:t>北海街道社区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NE</w:t>
            </w:r>
          </w:p>
        </w:tc>
        <w:tc>
          <w:tcPr>
            <w:tcW w:w="794" w:type="pct"/>
            <w:vAlign w:val="center"/>
          </w:tcPr>
          <w:p>
            <w:pPr>
              <w:pStyle w:val="56"/>
              <w:rPr>
                <w:sz w:val="18"/>
                <w:szCs w:val="18"/>
              </w:rPr>
            </w:pPr>
            <w:r>
              <w:rPr>
                <w:rFonts w:hint="eastAsia"/>
                <w:sz w:val="18"/>
                <w:szCs w:val="18"/>
              </w:rPr>
              <w:t>1470</w:t>
            </w:r>
          </w:p>
        </w:tc>
        <w:tc>
          <w:tcPr>
            <w:tcW w:w="794" w:type="pct"/>
            <w:vAlign w:val="center"/>
          </w:tcPr>
          <w:p>
            <w:pPr>
              <w:pStyle w:val="56"/>
              <w:rPr>
                <w:sz w:val="18"/>
                <w:szCs w:val="18"/>
              </w:rPr>
            </w:pPr>
            <w:r>
              <w:rPr>
                <w:rFonts w:hint="eastAsia"/>
                <w:sz w:val="18"/>
                <w:szCs w:val="18"/>
              </w:rPr>
              <w:t>1640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8</w:t>
            </w:r>
          </w:p>
        </w:tc>
        <w:tc>
          <w:tcPr>
            <w:tcW w:w="1194" w:type="pct"/>
            <w:vAlign w:val="center"/>
          </w:tcPr>
          <w:p>
            <w:pPr>
              <w:pStyle w:val="56"/>
              <w:rPr>
                <w:sz w:val="18"/>
                <w:szCs w:val="18"/>
              </w:rPr>
            </w:pPr>
            <w:r>
              <w:rPr>
                <w:rFonts w:hint="eastAsia"/>
                <w:sz w:val="18"/>
                <w:szCs w:val="18"/>
              </w:rPr>
              <w:t>津桥街道社区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N</w:t>
            </w:r>
          </w:p>
        </w:tc>
        <w:tc>
          <w:tcPr>
            <w:tcW w:w="794" w:type="pct"/>
            <w:vAlign w:val="center"/>
          </w:tcPr>
          <w:p>
            <w:pPr>
              <w:pStyle w:val="56"/>
              <w:rPr>
                <w:sz w:val="18"/>
                <w:szCs w:val="18"/>
              </w:rPr>
            </w:pPr>
            <w:r>
              <w:rPr>
                <w:rFonts w:hint="eastAsia"/>
                <w:sz w:val="18"/>
                <w:szCs w:val="18"/>
              </w:rPr>
              <w:t>640</w:t>
            </w:r>
          </w:p>
        </w:tc>
        <w:tc>
          <w:tcPr>
            <w:tcW w:w="794" w:type="pct"/>
            <w:vAlign w:val="center"/>
          </w:tcPr>
          <w:p>
            <w:pPr>
              <w:pStyle w:val="56"/>
              <w:rPr>
                <w:sz w:val="18"/>
                <w:szCs w:val="18"/>
              </w:rPr>
            </w:pPr>
            <w:r>
              <w:rPr>
                <w:rFonts w:hint="eastAsia"/>
                <w:sz w:val="18"/>
                <w:szCs w:val="18"/>
              </w:rPr>
              <w:t>460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9</w:t>
            </w:r>
          </w:p>
        </w:tc>
        <w:tc>
          <w:tcPr>
            <w:tcW w:w="1194" w:type="pct"/>
            <w:vAlign w:val="center"/>
          </w:tcPr>
          <w:p>
            <w:pPr>
              <w:pStyle w:val="56"/>
              <w:rPr>
                <w:sz w:val="18"/>
                <w:szCs w:val="18"/>
              </w:rPr>
            </w:pPr>
            <w:r>
              <w:rPr>
                <w:rFonts w:hint="eastAsia"/>
                <w:sz w:val="18"/>
                <w:szCs w:val="18"/>
              </w:rPr>
              <w:t>万泉街道社区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S</w:t>
            </w:r>
          </w:p>
        </w:tc>
        <w:tc>
          <w:tcPr>
            <w:tcW w:w="794" w:type="pct"/>
            <w:vAlign w:val="center"/>
          </w:tcPr>
          <w:p>
            <w:pPr>
              <w:pStyle w:val="56"/>
              <w:rPr>
                <w:sz w:val="18"/>
                <w:szCs w:val="18"/>
              </w:rPr>
            </w:pPr>
            <w:r>
              <w:rPr>
                <w:rFonts w:hint="eastAsia"/>
                <w:sz w:val="18"/>
                <w:szCs w:val="18"/>
              </w:rPr>
              <w:t>200</w:t>
            </w:r>
          </w:p>
        </w:tc>
        <w:tc>
          <w:tcPr>
            <w:tcW w:w="794" w:type="pct"/>
            <w:vAlign w:val="center"/>
          </w:tcPr>
          <w:p>
            <w:pPr>
              <w:pStyle w:val="56"/>
              <w:rPr>
                <w:sz w:val="18"/>
                <w:szCs w:val="18"/>
              </w:rPr>
            </w:pPr>
            <w:r>
              <w:rPr>
                <w:rFonts w:hint="eastAsia"/>
                <w:sz w:val="18"/>
                <w:szCs w:val="18"/>
              </w:rPr>
              <w:t>112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10</w:t>
            </w:r>
          </w:p>
        </w:tc>
        <w:tc>
          <w:tcPr>
            <w:tcW w:w="1194" w:type="pct"/>
            <w:vAlign w:val="center"/>
          </w:tcPr>
          <w:p>
            <w:pPr>
              <w:pStyle w:val="56"/>
              <w:rPr>
                <w:sz w:val="18"/>
                <w:szCs w:val="18"/>
              </w:rPr>
            </w:pPr>
            <w:r>
              <w:rPr>
                <w:rFonts w:hint="eastAsia"/>
                <w:sz w:val="18"/>
                <w:szCs w:val="18"/>
              </w:rPr>
              <w:t>长安街道社区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SE</w:t>
            </w:r>
          </w:p>
        </w:tc>
        <w:tc>
          <w:tcPr>
            <w:tcW w:w="794" w:type="pct"/>
            <w:vAlign w:val="center"/>
          </w:tcPr>
          <w:p>
            <w:pPr>
              <w:pStyle w:val="56"/>
              <w:rPr>
                <w:sz w:val="18"/>
                <w:szCs w:val="18"/>
              </w:rPr>
            </w:pPr>
            <w:r>
              <w:rPr>
                <w:rFonts w:hint="eastAsia"/>
                <w:sz w:val="18"/>
                <w:szCs w:val="18"/>
              </w:rPr>
              <w:t>670</w:t>
            </w:r>
          </w:p>
        </w:tc>
        <w:tc>
          <w:tcPr>
            <w:tcW w:w="794" w:type="pct"/>
            <w:vAlign w:val="center"/>
          </w:tcPr>
          <w:p>
            <w:pPr>
              <w:pStyle w:val="56"/>
              <w:rPr>
                <w:sz w:val="18"/>
                <w:szCs w:val="18"/>
              </w:rPr>
            </w:pPr>
            <w:r>
              <w:rPr>
                <w:rFonts w:hint="eastAsia"/>
                <w:sz w:val="18"/>
                <w:szCs w:val="18"/>
              </w:rPr>
              <w:t>730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11</w:t>
            </w:r>
          </w:p>
        </w:tc>
        <w:tc>
          <w:tcPr>
            <w:tcW w:w="1194" w:type="pct"/>
            <w:vAlign w:val="center"/>
          </w:tcPr>
          <w:p>
            <w:pPr>
              <w:pStyle w:val="56"/>
              <w:rPr>
                <w:sz w:val="18"/>
                <w:szCs w:val="18"/>
              </w:rPr>
            </w:pPr>
            <w:r>
              <w:rPr>
                <w:rFonts w:hint="eastAsia"/>
                <w:sz w:val="18"/>
                <w:szCs w:val="18"/>
              </w:rPr>
              <w:t>新东街道社区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NE</w:t>
            </w:r>
          </w:p>
        </w:tc>
        <w:tc>
          <w:tcPr>
            <w:tcW w:w="794" w:type="pct"/>
            <w:vAlign w:val="center"/>
          </w:tcPr>
          <w:p>
            <w:pPr>
              <w:pStyle w:val="56"/>
              <w:rPr>
                <w:sz w:val="18"/>
                <w:szCs w:val="18"/>
              </w:rPr>
            </w:pPr>
            <w:r>
              <w:rPr>
                <w:rFonts w:hint="eastAsia"/>
                <w:sz w:val="18"/>
                <w:szCs w:val="18"/>
              </w:rPr>
              <w:t>2365</w:t>
            </w:r>
          </w:p>
        </w:tc>
        <w:tc>
          <w:tcPr>
            <w:tcW w:w="794" w:type="pct"/>
            <w:vAlign w:val="center"/>
          </w:tcPr>
          <w:p>
            <w:pPr>
              <w:pStyle w:val="56"/>
              <w:rPr>
                <w:sz w:val="18"/>
                <w:szCs w:val="18"/>
              </w:rPr>
            </w:pPr>
            <w:r>
              <w:rPr>
                <w:rFonts w:hint="eastAsia"/>
                <w:sz w:val="18"/>
                <w:szCs w:val="18"/>
              </w:rPr>
              <w:t>2400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12</w:t>
            </w:r>
          </w:p>
        </w:tc>
        <w:tc>
          <w:tcPr>
            <w:tcW w:w="1194" w:type="pct"/>
            <w:vAlign w:val="center"/>
          </w:tcPr>
          <w:p>
            <w:pPr>
              <w:pStyle w:val="56"/>
              <w:rPr>
                <w:sz w:val="18"/>
                <w:szCs w:val="18"/>
              </w:rPr>
            </w:pPr>
            <w:r>
              <w:rPr>
                <w:rFonts w:hint="eastAsia"/>
                <w:sz w:val="18"/>
                <w:szCs w:val="18"/>
              </w:rPr>
              <w:t>东塔街道社区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E</w:t>
            </w:r>
          </w:p>
        </w:tc>
        <w:tc>
          <w:tcPr>
            <w:tcW w:w="794" w:type="pct"/>
            <w:vAlign w:val="center"/>
          </w:tcPr>
          <w:p>
            <w:pPr>
              <w:pStyle w:val="56"/>
              <w:rPr>
                <w:sz w:val="18"/>
                <w:szCs w:val="18"/>
              </w:rPr>
            </w:pPr>
            <w:r>
              <w:rPr>
                <w:rFonts w:hint="eastAsia"/>
                <w:sz w:val="18"/>
                <w:szCs w:val="18"/>
              </w:rPr>
              <w:t>655</w:t>
            </w:r>
          </w:p>
        </w:tc>
        <w:tc>
          <w:tcPr>
            <w:tcW w:w="794" w:type="pct"/>
            <w:vAlign w:val="center"/>
          </w:tcPr>
          <w:p>
            <w:pPr>
              <w:pStyle w:val="56"/>
              <w:rPr>
                <w:sz w:val="18"/>
                <w:szCs w:val="18"/>
              </w:rPr>
            </w:pPr>
            <w:r>
              <w:rPr>
                <w:rFonts w:hint="eastAsia"/>
                <w:sz w:val="18"/>
                <w:szCs w:val="18"/>
              </w:rPr>
              <w:t>600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13</w:t>
            </w:r>
          </w:p>
        </w:tc>
        <w:tc>
          <w:tcPr>
            <w:tcW w:w="1194" w:type="pct"/>
            <w:vAlign w:val="center"/>
          </w:tcPr>
          <w:p>
            <w:pPr>
              <w:pStyle w:val="56"/>
              <w:rPr>
                <w:sz w:val="18"/>
                <w:szCs w:val="18"/>
              </w:rPr>
            </w:pPr>
            <w:r>
              <w:rPr>
                <w:rFonts w:hint="eastAsia"/>
                <w:sz w:val="18"/>
                <w:szCs w:val="18"/>
              </w:rPr>
              <w:t>皇城街道社区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W</w:t>
            </w:r>
          </w:p>
        </w:tc>
        <w:tc>
          <w:tcPr>
            <w:tcW w:w="794" w:type="pct"/>
            <w:vAlign w:val="center"/>
          </w:tcPr>
          <w:p>
            <w:pPr>
              <w:pStyle w:val="56"/>
              <w:rPr>
                <w:sz w:val="18"/>
                <w:szCs w:val="18"/>
              </w:rPr>
            </w:pPr>
            <w:r>
              <w:rPr>
                <w:rFonts w:hint="eastAsia"/>
                <w:sz w:val="18"/>
                <w:szCs w:val="18"/>
              </w:rPr>
              <w:t>1172</w:t>
            </w:r>
          </w:p>
        </w:tc>
        <w:tc>
          <w:tcPr>
            <w:tcW w:w="794" w:type="pct"/>
            <w:vAlign w:val="center"/>
          </w:tcPr>
          <w:p>
            <w:pPr>
              <w:pStyle w:val="56"/>
              <w:rPr>
                <w:sz w:val="18"/>
                <w:szCs w:val="18"/>
              </w:rPr>
            </w:pPr>
            <w:r>
              <w:rPr>
                <w:rFonts w:hint="eastAsia"/>
                <w:sz w:val="18"/>
                <w:szCs w:val="18"/>
              </w:rPr>
              <w:t>1000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14</w:t>
            </w:r>
          </w:p>
        </w:tc>
        <w:tc>
          <w:tcPr>
            <w:tcW w:w="1194" w:type="pct"/>
            <w:vAlign w:val="center"/>
          </w:tcPr>
          <w:p>
            <w:pPr>
              <w:pStyle w:val="56"/>
              <w:rPr>
                <w:sz w:val="18"/>
                <w:szCs w:val="18"/>
              </w:rPr>
            </w:pPr>
            <w:r>
              <w:rPr>
                <w:rFonts w:hint="eastAsia"/>
                <w:sz w:val="18"/>
                <w:szCs w:val="18"/>
              </w:rPr>
              <w:t>大北街道社区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NE</w:t>
            </w:r>
          </w:p>
        </w:tc>
        <w:tc>
          <w:tcPr>
            <w:tcW w:w="794" w:type="pct"/>
            <w:vAlign w:val="center"/>
          </w:tcPr>
          <w:p>
            <w:pPr>
              <w:pStyle w:val="56"/>
              <w:rPr>
                <w:sz w:val="18"/>
                <w:szCs w:val="18"/>
              </w:rPr>
            </w:pPr>
            <w:r>
              <w:rPr>
                <w:rFonts w:hint="eastAsia"/>
                <w:sz w:val="18"/>
                <w:szCs w:val="18"/>
              </w:rPr>
              <w:t>1320</w:t>
            </w:r>
          </w:p>
        </w:tc>
        <w:tc>
          <w:tcPr>
            <w:tcW w:w="794" w:type="pct"/>
            <w:vAlign w:val="center"/>
          </w:tcPr>
          <w:p>
            <w:pPr>
              <w:pStyle w:val="56"/>
              <w:rPr>
                <w:sz w:val="18"/>
                <w:szCs w:val="18"/>
              </w:rPr>
            </w:pPr>
            <w:r>
              <w:rPr>
                <w:rFonts w:hint="eastAsia"/>
                <w:sz w:val="18"/>
                <w:szCs w:val="18"/>
              </w:rPr>
              <w:t>1113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15</w:t>
            </w:r>
          </w:p>
        </w:tc>
        <w:tc>
          <w:tcPr>
            <w:tcW w:w="1194" w:type="pct"/>
            <w:vAlign w:val="center"/>
          </w:tcPr>
          <w:p>
            <w:pPr>
              <w:pStyle w:val="56"/>
              <w:rPr>
                <w:sz w:val="18"/>
                <w:szCs w:val="18"/>
              </w:rPr>
            </w:pPr>
            <w:r>
              <w:rPr>
                <w:rFonts w:hint="eastAsia"/>
                <w:sz w:val="18"/>
                <w:szCs w:val="18"/>
              </w:rPr>
              <w:t>大南街道社区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SW</w:t>
            </w:r>
          </w:p>
        </w:tc>
        <w:tc>
          <w:tcPr>
            <w:tcW w:w="794" w:type="pct"/>
            <w:vAlign w:val="center"/>
          </w:tcPr>
          <w:p>
            <w:pPr>
              <w:pStyle w:val="56"/>
              <w:rPr>
                <w:sz w:val="18"/>
                <w:szCs w:val="18"/>
              </w:rPr>
            </w:pPr>
            <w:r>
              <w:rPr>
                <w:rFonts w:hint="eastAsia"/>
                <w:sz w:val="18"/>
                <w:szCs w:val="18"/>
              </w:rPr>
              <w:t>1848</w:t>
            </w:r>
          </w:p>
        </w:tc>
        <w:tc>
          <w:tcPr>
            <w:tcW w:w="794" w:type="pct"/>
            <w:vAlign w:val="center"/>
          </w:tcPr>
          <w:p>
            <w:pPr>
              <w:pStyle w:val="56"/>
              <w:rPr>
                <w:sz w:val="18"/>
                <w:szCs w:val="18"/>
              </w:rPr>
            </w:pPr>
            <w:r>
              <w:rPr>
                <w:rFonts w:hint="eastAsia"/>
                <w:sz w:val="18"/>
                <w:szCs w:val="18"/>
              </w:rPr>
              <w:t>1820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16</w:t>
            </w:r>
          </w:p>
        </w:tc>
        <w:tc>
          <w:tcPr>
            <w:tcW w:w="1194" w:type="pct"/>
            <w:vAlign w:val="center"/>
          </w:tcPr>
          <w:p>
            <w:pPr>
              <w:pStyle w:val="56"/>
              <w:rPr>
                <w:sz w:val="18"/>
                <w:szCs w:val="18"/>
              </w:rPr>
            </w:pPr>
            <w:r>
              <w:rPr>
                <w:rFonts w:hint="eastAsia"/>
                <w:sz w:val="18"/>
                <w:szCs w:val="18"/>
              </w:rPr>
              <w:t>万莲街道社区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SW</w:t>
            </w:r>
          </w:p>
        </w:tc>
        <w:tc>
          <w:tcPr>
            <w:tcW w:w="794" w:type="pct"/>
            <w:vAlign w:val="center"/>
          </w:tcPr>
          <w:p>
            <w:pPr>
              <w:pStyle w:val="56"/>
              <w:rPr>
                <w:sz w:val="18"/>
                <w:szCs w:val="18"/>
              </w:rPr>
            </w:pPr>
            <w:r>
              <w:rPr>
                <w:rFonts w:hint="eastAsia"/>
                <w:sz w:val="18"/>
                <w:szCs w:val="18"/>
              </w:rPr>
              <w:t>1200</w:t>
            </w:r>
          </w:p>
        </w:tc>
        <w:tc>
          <w:tcPr>
            <w:tcW w:w="794" w:type="pct"/>
            <w:vAlign w:val="center"/>
          </w:tcPr>
          <w:p>
            <w:pPr>
              <w:pStyle w:val="56"/>
              <w:rPr>
                <w:sz w:val="18"/>
                <w:szCs w:val="18"/>
              </w:rPr>
            </w:pPr>
            <w:r>
              <w:rPr>
                <w:rFonts w:hint="eastAsia"/>
                <w:sz w:val="18"/>
                <w:szCs w:val="18"/>
              </w:rPr>
              <w:t>925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17</w:t>
            </w:r>
          </w:p>
        </w:tc>
        <w:tc>
          <w:tcPr>
            <w:tcW w:w="1194" w:type="pct"/>
            <w:vAlign w:val="center"/>
          </w:tcPr>
          <w:p>
            <w:pPr>
              <w:pStyle w:val="56"/>
              <w:rPr>
                <w:sz w:val="18"/>
                <w:szCs w:val="18"/>
              </w:rPr>
            </w:pPr>
            <w:r>
              <w:rPr>
                <w:rFonts w:hint="eastAsia"/>
                <w:sz w:val="18"/>
                <w:szCs w:val="18"/>
              </w:rPr>
              <w:t>沈海公园社区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NE</w:t>
            </w:r>
          </w:p>
        </w:tc>
        <w:tc>
          <w:tcPr>
            <w:tcW w:w="794" w:type="pct"/>
            <w:vAlign w:val="center"/>
          </w:tcPr>
          <w:p>
            <w:pPr>
              <w:pStyle w:val="56"/>
              <w:rPr>
                <w:sz w:val="18"/>
                <w:szCs w:val="18"/>
              </w:rPr>
            </w:pPr>
            <w:r>
              <w:rPr>
                <w:rFonts w:hint="eastAsia"/>
                <w:sz w:val="18"/>
                <w:szCs w:val="18"/>
              </w:rPr>
              <w:t>1550</w:t>
            </w:r>
          </w:p>
        </w:tc>
        <w:tc>
          <w:tcPr>
            <w:tcW w:w="794" w:type="pct"/>
            <w:vAlign w:val="center"/>
          </w:tcPr>
          <w:p>
            <w:pPr>
              <w:pStyle w:val="56"/>
              <w:rPr>
                <w:sz w:val="18"/>
                <w:szCs w:val="18"/>
              </w:rPr>
            </w:pPr>
            <w:r>
              <w:rPr>
                <w:rFonts w:hint="eastAsia"/>
                <w:sz w:val="18"/>
                <w:szCs w:val="18"/>
              </w:rPr>
              <w:t>1400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18</w:t>
            </w:r>
          </w:p>
        </w:tc>
        <w:tc>
          <w:tcPr>
            <w:tcW w:w="1194" w:type="pct"/>
            <w:vAlign w:val="center"/>
          </w:tcPr>
          <w:p>
            <w:pPr>
              <w:pStyle w:val="56"/>
              <w:rPr>
                <w:sz w:val="18"/>
                <w:szCs w:val="18"/>
              </w:rPr>
            </w:pPr>
            <w:r>
              <w:rPr>
                <w:sz w:val="18"/>
                <w:szCs w:val="18"/>
              </w:rPr>
              <w:t>民强小区</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N</w:t>
            </w:r>
          </w:p>
        </w:tc>
        <w:tc>
          <w:tcPr>
            <w:tcW w:w="794" w:type="pct"/>
            <w:vAlign w:val="center"/>
          </w:tcPr>
          <w:p>
            <w:pPr>
              <w:pStyle w:val="56"/>
              <w:rPr>
                <w:sz w:val="18"/>
                <w:szCs w:val="18"/>
              </w:rPr>
            </w:pPr>
            <w:r>
              <w:rPr>
                <w:rFonts w:hint="eastAsia"/>
                <w:sz w:val="18"/>
                <w:szCs w:val="18"/>
              </w:rPr>
              <w:t>178</w:t>
            </w:r>
          </w:p>
        </w:tc>
        <w:tc>
          <w:tcPr>
            <w:tcW w:w="794" w:type="pct"/>
            <w:vAlign w:val="center"/>
          </w:tcPr>
          <w:p>
            <w:pPr>
              <w:pStyle w:val="56"/>
              <w:rPr>
                <w:sz w:val="18"/>
                <w:szCs w:val="18"/>
              </w:rPr>
            </w:pPr>
            <w:r>
              <w:rPr>
                <w:rFonts w:hint="eastAsia"/>
                <w:sz w:val="18"/>
                <w:szCs w:val="18"/>
              </w:rPr>
              <w:t>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19</w:t>
            </w:r>
          </w:p>
        </w:tc>
        <w:tc>
          <w:tcPr>
            <w:tcW w:w="1194" w:type="pct"/>
            <w:vAlign w:val="center"/>
          </w:tcPr>
          <w:p>
            <w:pPr>
              <w:pStyle w:val="56"/>
              <w:rPr>
                <w:sz w:val="18"/>
                <w:szCs w:val="18"/>
              </w:rPr>
            </w:pPr>
            <w:r>
              <w:rPr>
                <w:sz w:val="18"/>
                <w:szCs w:val="18"/>
              </w:rPr>
              <w:t>天龙家园</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W</w:t>
            </w:r>
          </w:p>
        </w:tc>
        <w:tc>
          <w:tcPr>
            <w:tcW w:w="794" w:type="pct"/>
            <w:vAlign w:val="center"/>
          </w:tcPr>
          <w:p>
            <w:pPr>
              <w:pStyle w:val="56"/>
              <w:rPr>
                <w:sz w:val="18"/>
                <w:szCs w:val="18"/>
              </w:rPr>
            </w:pPr>
            <w:r>
              <w:rPr>
                <w:rFonts w:hint="eastAsia"/>
                <w:sz w:val="18"/>
                <w:szCs w:val="18"/>
              </w:rPr>
              <w:t>250</w:t>
            </w:r>
          </w:p>
        </w:tc>
        <w:tc>
          <w:tcPr>
            <w:tcW w:w="794" w:type="pct"/>
            <w:vAlign w:val="center"/>
          </w:tcPr>
          <w:p>
            <w:pPr>
              <w:pStyle w:val="56"/>
              <w:rPr>
                <w:sz w:val="18"/>
                <w:szCs w:val="18"/>
              </w:rPr>
            </w:pPr>
            <w:r>
              <w:rPr>
                <w:rFonts w:hint="eastAsia"/>
                <w:sz w:val="18"/>
                <w:szCs w:val="18"/>
              </w:rPr>
              <w:t>27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20</w:t>
            </w:r>
          </w:p>
        </w:tc>
        <w:tc>
          <w:tcPr>
            <w:tcW w:w="1194" w:type="pct"/>
            <w:vAlign w:val="center"/>
          </w:tcPr>
          <w:p>
            <w:pPr>
              <w:pStyle w:val="56"/>
              <w:rPr>
                <w:sz w:val="18"/>
                <w:szCs w:val="18"/>
              </w:rPr>
            </w:pPr>
            <w:r>
              <w:rPr>
                <w:sz w:val="18"/>
                <w:szCs w:val="18"/>
              </w:rPr>
              <w:t>大东尚品实验幼儿园</w:t>
            </w:r>
          </w:p>
        </w:tc>
        <w:tc>
          <w:tcPr>
            <w:tcW w:w="978" w:type="pct"/>
            <w:vAlign w:val="center"/>
          </w:tcPr>
          <w:p>
            <w:pPr>
              <w:pStyle w:val="56"/>
              <w:rPr>
                <w:sz w:val="18"/>
                <w:szCs w:val="18"/>
              </w:rPr>
            </w:pPr>
            <w:r>
              <w:rPr>
                <w:rFonts w:hint="eastAsia"/>
                <w:sz w:val="18"/>
                <w:szCs w:val="18"/>
              </w:rPr>
              <w:t>师生</w:t>
            </w:r>
          </w:p>
        </w:tc>
        <w:tc>
          <w:tcPr>
            <w:tcW w:w="794" w:type="pct"/>
            <w:vAlign w:val="center"/>
          </w:tcPr>
          <w:p>
            <w:pPr>
              <w:pStyle w:val="56"/>
              <w:rPr>
                <w:sz w:val="18"/>
                <w:szCs w:val="18"/>
              </w:rPr>
            </w:pPr>
            <w:r>
              <w:rPr>
                <w:rFonts w:hint="eastAsia"/>
                <w:sz w:val="18"/>
                <w:szCs w:val="18"/>
              </w:rPr>
              <w:t>N</w:t>
            </w:r>
          </w:p>
        </w:tc>
        <w:tc>
          <w:tcPr>
            <w:tcW w:w="794" w:type="pct"/>
            <w:vAlign w:val="center"/>
          </w:tcPr>
          <w:p>
            <w:pPr>
              <w:pStyle w:val="56"/>
              <w:rPr>
                <w:sz w:val="18"/>
                <w:szCs w:val="18"/>
              </w:rPr>
            </w:pPr>
            <w:r>
              <w:rPr>
                <w:rFonts w:hint="eastAsia"/>
                <w:sz w:val="18"/>
                <w:szCs w:val="18"/>
              </w:rPr>
              <w:t>200</w:t>
            </w:r>
          </w:p>
        </w:tc>
        <w:tc>
          <w:tcPr>
            <w:tcW w:w="794" w:type="pct"/>
            <w:vAlign w:val="center"/>
          </w:tcPr>
          <w:p>
            <w:pPr>
              <w:pStyle w:val="56"/>
              <w:rPr>
                <w:sz w:val="18"/>
                <w:szCs w:val="18"/>
              </w:rPr>
            </w:pPr>
            <w:r>
              <w:rPr>
                <w:rFonts w:hint="eastAsia"/>
                <w:sz w:val="18"/>
                <w:szCs w:val="18"/>
              </w:rPr>
              <w:t>28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21</w:t>
            </w:r>
          </w:p>
        </w:tc>
        <w:tc>
          <w:tcPr>
            <w:tcW w:w="1194" w:type="pct"/>
            <w:vAlign w:val="center"/>
          </w:tcPr>
          <w:p>
            <w:pPr>
              <w:pStyle w:val="56"/>
              <w:rPr>
                <w:sz w:val="18"/>
                <w:szCs w:val="18"/>
              </w:rPr>
            </w:pPr>
            <w:r>
              <w:rPr>
                <w:sz w:val="18"/>
                <w:szCs w:val="18"/>
              </w:rPr>
              <w:t>锦绣华庭</w:t>
            </w:r>
          </w:p>
        </w:tc>
        <w:tc>
          <w:tcPr>
            <w:tcW w:w="978" w:type="pct"/>
            <w:vAlign w:val="center"/>
          </w:tcPr>
          <w:p>
            <w:pPr>
              <w:pStyle w:val="56"/>
              <w:rPr>
                <w:sz w:val="18"/>
                <w:szCs w:val="18"/>
              </w:rPr>
            </w:pPr>
            <w:r>
              <w:rPr>
                <w:rFonts w:hint="eastAsia"/>
                <w:sz w:val="18"/>
                <w:szCs w:val="18"/>
              </w:rPr>
              <w:t>居民</w:t>
            </w:r>
          </w:p>
        </w:tc>
        <w:tc>
          <w:tcPr>
            <w:tcW w:w="794" w:type="pct"/>
            <w:vAlign w:val="center"/>
          </w:tcPr>
          <w:p>
            <w:pPr>
              <w:pStyle w:val="56"/>
              <w:rPr>
                <w:sz w:val="18"/>
                <w:szCs w:val="18"/>
              </w:rPr>
            </w:pPr>
            <w:r>
              <w:rPr>
                <w:rFonts w:hint="eastAsia"/>
                <w:sz w:val="18"/>
                <w:szCs w:val="18"/>
              </w:rPr>
              <w:t>E</w:t>
            </w:r>
          </w:p>
        </w:tc>
        <w:tc>
          <w:tcPr>
            <w:tcW w:w="794" w:type="pct"/>
            <w:vAlign w:val="center"/>
          </w:tcPr>
          <w:p>
            <w:pPr>
              <w:pStyle w:val="56"/>
              <w:rPr>
                <w:sz w:val="18"/>
                <w:szCs w:val="18"/>
              </w:rPr>
            </w:pPr>
            <w:r>
              <w:rPr>
                <w:rFonts w:hint="eastAsia"/>
                <w:sz w:val="18"/>
                <w:szCs w:val="18"/>
              </w:rPr>
              <w:t>100</w:t>
            </w:r>
          </w:p>
        </w:tc>
        <w:tc>
          <w:tcPr>
            <w:tcW w:w="794" w:type="pct"/>
            <w:vAlign w:val="center"/>
          </w:tcPr>
          <w:p>
            <w:pPr>
              <w:pStyle w:val="56"/>
              <w:rPr>
                <w:sz w:val="18"/>
                <w:szCs w:val="18"/>
              </w:rPr>
            </w:pPr>
            <w:r>
              <w:rPr>
                <w:rFonts w:hint="eastAsia"/>
                <w:sz w:val="18"/>
                <w:szCs w:val="18"/>
              </w:rPr>
              <w:t>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2</w:t>
            </w:r>
            <w:r>
              <w:rPr>
                <w:sz w:val="18"/>
                <w:szCs w:val="18"/>
              </w:rPr>
              <w:t>2</w:t>
            </w:r>
          </w:p>
        </w:tc>
        <w:tc>
          <w:tcPr>
            <w:tcW w:w="1194" w:type="pct"/>
            <w:vAlign w:val="center"/>
          </w:tcPr>
          <w:p>
            <w:pPr>
              <w:pStyle w:val="56"/>
              <w:rPr>
                <w:sz w:val="18"/>
                <w:szCs w:val="18"/>
              </w:rPr>
            </w:pPr>
            <w:r>
              <w:rPr>
                <w:rFonts w:hint="eastAsia"/>
                <w:sz w:val="18"/>
                <w:szCs w:val="18"/>
              </w:rPr>
              <w:t>张氏帅府博物馆</w:t>
            </w:r>
          </w:p>
        </w:tc>
        <w:tc>
          <w:tcPr>
            <w:tcW w:w="978" w:type="pct"/>
            <w:vAlign w:val="center"/>
          </w:tcPr>
          <w:p>
            <w:pPr>
              <w:pStyle w:val="56"/>
              <w:rPr>
                <w:sz w:val="18"/>
                <w:szCs w:val="18"/>
              </w:rPr>
            </w:pPr>
            <w:r>
              <w:rPr>
                <w:rFonts w:hint="eastAsia"/>
                <w:sz w:val="18"/>
                <w:szCs w:val="18"/>
              </w:rPr>
              <w:t>名胜古迹</w:t>
            </w:r>
          </w:p>
        </w:tc>
        <w:tc>
          <w:tcPr>
            <w:tcW w:w="794" w:type="pct"/>
            <w:vAlign w:val="center"/>
          </w:tcPr>
          <w:p>
            <w:pPr>
              <w:pStyle w:val="56"/>
              <w:rPr>
                <w:sz w:val="18"/>
                <w:szCs w:val="18"/>
              </w:rPr>
            </w:pPr>
            <w:r>
              <w:rPr>
                <w:rFonts w:hint="eastAsia"/>
                <w:sz w:val="18"/>
                <w:szCs w:val="18"/>
              </w:rPr>
              <w:t>S</w:t>
            </w:r>
            <w:r>
              <w:rPr>
                <w:sz w:val="18"/>
                <w:szCs w:val="18"/>
              </w:rPr>
              <w:t>W</w:t>
            </w:r>
          </w:p>
        </w:tc>
        <w:tc>
          <w:tcPr>
            <w:tcW w:w="794" w:type="pct"/>
            <w:vAlign w:val="center"/>
          </w:tcPr>
          <w:p>
            <w:pPr>
              <w:pStyle w:val="56"/>
              <w:rPr>
                <w:sz w:val="18"/>
                <w:szCs w:val="18"/>
              </w:rPr>
            </w:pPr>
            <w:r>
              <w:rPr>
                <w:rFonts w:hint="eastAsia"/>
                <w:sz w:val="18"/>
                <w:szCs w:val="18"/>
              </w:rPr>
              <w:t>1</w:t>
            </w:r>
            <w:r>
              <w:rPr>
                <w:sz w:val="18"/>
                <w:szCs w:val="18"/>
              </w:rPr>
              <w:t>670</w:t>
            </w:r>
          </w:p>
        </w:tc>
        <w:tc>
          <w:tcPr>
            <w:tcW w:w="794" w:type="pct"/>
            <w:vAlign w:val="center"/>
          </w:tcPr>
          <w:p>
            <w:pPr>
              <w:pStyle w:val="56"/>
              <w:rPr>
                <w:sz w:val="18"/>
                <w:szCs w:val="18"/>
              </w:rPr>
            </w:pPr>
            <w:r>
              <w:rPr>
                <w:rFonts w:hint="eastAsia"/>
                <w:sz w:val="18"/>
                <w:szCs w:val="18"/>
              </w:rPr>
              <w:t>1</w:t>
            </w:r>
            <w:r>
              <w:rPr>
                <w:sz w:val="18"/>
                <w:szCs w:val="18"/>
              </w:rPr>
              <w:t>470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2</w:t>
            </w:r>
            <w:r>
              <w:rPr>
                <w:sz w:val="18"/>
                <w:szCs w:val="18"/>
              </w:rPr>
              <w:t>3</w:t>
            </w:r>
          </w:p>
        </w:tc>
        <w:tc>
          <w:tcPr>
            <w:tcW w:w="1194" w:type="pct"/>
            <w:vAlign w:val="center"/>
          </w:tcPr>
          <w:p>
            <w:pPr>
              <w:pStyle w:val="56"/>
              <w:rPr>
                <w:sz w:val="18"/>
                <w:szCs w:val="18"/>
              </w:rPr>
            </w:pPr>
            <w:r>
              <w:rPr>
                <w:rFonts w:hint="eastAsia"/>
                <w:sz w:val="18"/>
                <w:szCs w:val="18"/>
              </w:rPr>
              <w:t>杨宇霆公馆</w:t>
            </w:r>
          </w:p>
        </w:tc>
        <w:tc>
          <w:tcPr>
            <w:tcW w:w="978" w:type="pct"/>
            <w:vAlign w:val="center"/>
          </w:tcPr>
          <w:p>
            <w:pPr>
              <w:pStyle w:val="56"/>
              <w:rPr>
                <w:sz w:val="18"/>
                <w:szCs w:val="18"/>
              </w:rPr>
            </w:pPr>
            <w:r>
              <w:rPr>
                <w:rFonts w:hint="eastAsia"/>
                <w:sz w:val="18"/>
                <w:szCs w:val="18"/>
              </w:rPr>
              <w:t>名胜古迹</w:t>
            </w:r>
          </w:p>
        </w:tc>
        <w:tc>
          <w:tcPr>
            <w:tcW w:w="794" w:type="pct"/>
            <w:vAlign w:val="center"/>
          </w:tcPr>
          <w:p>
            <w:pPr>
              <w:pStyle w:val="56"/>
              <w:rPr>
                <w:sz w:val="18"/>
                <w:szCs w:val="18"/>
              </w:rPr>
            </w:pPr>
            <w:r>
              <w:rPr>
                <w:rFonts w:hint="eastAsia"/>
                <w:sz w:val="18"/>
                <w:szCs w:val="18"/>
              </w:rPr>
              <w:t>S</w:t>
            </w:r>
            <w:r>
              <w:rPr>
                <w:sz w:val="18"/>
                <w:szCs w:val="18"/>
              </w:rPr>
              <w:t>W</w:t>
            </w:r>
          </w:p>
        </w:tc>
        <w:tc>
          <w:tcPr>
            <w:tcW w:w="794" w:type="pct"/>
            <w:vAlign w:val="center"/>
          </w:tcPr>
          <w:p>
            <w:pPr>
              <w:pStyle w:val="56"/>
              <w:rPr>
                <w:sz w:val="18"/>
                <w:szCs w:val="18"/>
              </w:rPr>
            </w:pPr>
            <w:r>
              <w:rPr>
                <w:rFonts w:hint="eastAsia"/>
                <w:sz w:val="18"/>
                <w:szCs w:val="18"/>
              </w:rPr>
              <w:t>1</w:t>
            </w:r>
            <w:r>
              <w:rPr>
                <w:sz w:val="18"/>
                <w:szCs w:val="18"/>
              </w:rPr>
              <w:t>180</w:t>
            </w:r>
          </w:p>
        </w:tc>
        <w:tc>
          <w:tcPr>
            <w:tcW w:w="794" w:type="pct"/>
            <w:vAlign w:val="center"/>
          </w:tcPr>
          <w:p>
            <w:pPr>
              <w:pStyle w:val="56"/>
              <w:rPr>
                <w:sz w:val="18"/>
                <w:szCs w:val="18"/>
              </w:rPr>
            </w:pPr>
            <w:r>
              <w:rPr>
                <w:rFonts w:hint="eastAsia"/>
                <w:sz w:val="18"/>
                <w:szCs w:val="18"/>
              </w:rPr>
              <w:t>9</w:t>
            </w:r>
            <w:r>
              <w:rPr>
                <w:sz w:val="18"/>
                <w:szCs w:val="18"/>
              </w:rPr>
              <w:t>80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2</w:t>
            </w:r>
            <w:r>
              <w:rPr>
                <w:sz w:val="18"/>
                <w:szCs w:val="18"/>
              </w:rPr>
              <w:t>4</w:t>
            </w:r>
          </w:p>
        </w:tc>
        <w:tc>
          <w:tcPr>
            <w:tcW w:w="1194" w:type="pct"/>
            <w:vAlign w:val="center"/>
          </w:tcPr>
          <w:p>
            <w:pPr>
              <w:pStyle w:val="56"/>
              <w:rPr>
                <w:sz w:val="18"/>
                <w:szCs w:val="18"/>
              </w:rPr>
            </w:pPr>
            <w:r>
              <w:rPr>
                <w:rFonts w:hint="eastAsia"/>
                <w:sz w:val="18"/>
                <w:szCs w:val="18"/>
              </w:rPr>
              <w:t>周恩来同志少年读书旧址</w:t>
            </w:r>
          </w:p>
        </w:tc>
        <w:tc>
          <w:tcPr>
            <w:tcW w:w="978" w:type="pct"/>
            <w:vAlign w:val="center"/>
          </w:tcPr>
          <w:p>
            <w:pPr>
              <w:pStyle w:val="56"/>
              <w:rPr>
                <w:sz w:val="18"/>
                <w:szCs w:val="18"/>
              </w:rPr>
            </w:pPr>
            <w:r>
              <w:rPr>
                <w:rFonts w:hint="eastAsia"/>
                <w:sz w:val="18"/>
                <w:szCs w:val="18"/>
              </w:rPr>
              <w:t>名胜古迹</w:t>
            </w:r>
          </w:p>
        </w:tc>
        <w:tc>
          <w:tcPr>
            <w:tcW w:w="794" w:type="pct"/>
            <w:vAlign w:val="center"/>
          </w:tcPr>
          <w:p>
            <w:pPr>
              <w:pStyle w:val="56"/>
              <w:rPr>
                <w:sz w:val="18"/>
                <w:szCs w:val="18"/>
              </w:rPr>
            </w:pPr>
            <w:r>
              <w:rPr>
                <w:rFonts w:hint="eastAsia"/>
                <w:sz w:val="18"/>
                <w:szCs w:val="18"/>
              </w:rPr>
              <w:t>S</w:t>
            </w:r>
            <w:r>
              <w:rPr>
                <w:sz w:val="18"/>
                <w:szCs w:val="18"/>
              </w:rPr>
              <w:t>W</w:t>
            </w:r>
          </w:p>
        </w:tc>
        <w:tc>
          <w:tcPr>
            <w:tcW w:w="794" w:type="pct"/>
            <w:vAlign w:val="center"/>
          </w:tcPr>
          <w:p>
            <w:pPr>
              <w:pStyle w:val="56"/>
              <w:rPr>
                <w:sz w:val="18"/>
                <w:szCs w:val="18"/>
              </w:rPr>
            </w:pPr>
            <w:r>
              <w:rPr>
                <w:rFonts w:hint="eastAsia"/>
                <w:sz w:val="18"/>
                <w:szCs w:val="18"/>
              </w:rPr>
              <w:t>1</w:t>
            </w:r>
            <w:r>
              <w:rPr>
                <w:sz w:val="18"/>
                <w:szCs w:val="18"/>
              </w:rPr>
              <w:t>040</w:t>
            </w:r>
          </w:p>
        </w:tc>
        <w:tc>
          <w:tcPr>
            <w:tcW w:w="794" w:type="pct"/>
            <w:vAlign w:val="center"/>
          </w:tcPr>
          <w:p>
            <w:pPr>
              <w:pStyle w:val="56"/>
              <w:rPr>
                <w:sz w:val="18"/>
                <w:szCs w:val="18"/>
              </w:rPr>
            </w:pPr>
            <w:r>
              <w:rPr>
                <w:rFonts w:hint="eastAsia"/>
                <w:sz w:val="18"/>
                <w:szCs w:val="18"/>
              </w:rPr>
              <w:t>8</w:t>
            </w:r>
            <w:r>
              <w:rPr>
                <w:sz w:val="18"/>
                <w:szCs w:val="18"/>
              </w:rPr>
              <w:t>80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2</w:t>
            </w:r>
            <w:r>
              <w:rPr>
                <w:sz w:val="18"/>
                <w:szCs w:val="18"/>
              </w:rPr>
              <w:t>5</w:t>
            </w:r>
          </w:p>
        </w:tc>
        <w:tc>
          <w:tcPr>
            <w:tcW w:w="1194" w:type="pct"/>
            <w:vAlign w:val="center"/>
          </w:tcPr>
          <w:p>
            <w:pPr>
              <w:pStyle w:val="56"/>
              <w:rPr>
                <w:sz w:val="18"/>
                <w:szCs w:val="18"/>
              </w:rPr>
            </w:pPr>
            <w:r>
              <w:rPr>
                <w:rFonts w:hint="eastAsia"/>
                <w:sz w:val="18"/>
                <w:szCs w:val="18"/>
              </w:rPr>
              <w:t>东三省官银号旧址</w:t>
            </w:r>
          </w:p>
        </w:tc>
        <w:tc>
          <w:tcPr>
            <w:tcW w:w="978" w:type="pct"/>
            <w:vAlign w:val="center"/>
          </w:tcPr>
          <w:p>
            <w:pPr>
              <w:pStyle w:val="56"/>
              <w:rPr>
                <w:sz w:val="18"/>
                <w:szCs w:val="18"/>
              </w:rPr>
            </w:pPr>
            <w:r>
              <w:rPr>
                <w:rFonts w:hint="eastAsia"/>
                <w:sz w:val="18"/>
                <w:szCs w:val="18"/>
              </w:rPr>
              <w:t>名胜古迹</w:t>
            </w:r>
          </w:p>
        </w:tc>
        <w:tc>
          <w:tcPr>
            <w:tcW w:w="794" w:type="pct"/>
            <w:vAlign w:val="center"/>
          </w:tcPr>
          <w:p>
            <w:pPr>
              <w:pStyle w:val="56"/>
              <w:rPr>
                <w:sz w:val="18"/>
                <w:szCs w:val="18"/>
              </w:rPr>
            </w:pPr>
            <w:r>
              <w:rPr>
                <w:rFonts w:hint="eastAsia"/>
                <w:sz w:val="18"/>
                <w:szCs w:val="18"/>
              </w:rPr>
              <w:t>N</w:t>
            </w:r>
            <w:r>
              <w:rPr>
                <w:sz w:val="18"/>
                <w:szCs w:val="18"/>
              </w:rPr>
              <w:t>W</w:t>
            </w:r>
          </w:p>
        </w:tc>
        <w:tc>
          <w:tcPr>
            <w:tcW w:w="794" w:type="pct"/>
            <w:vAlign w:val="center"/>
          </w:tcPr>
          <w:p>
            <w:pPr>
              <w:pStyle w:val="56"/>
              <w:rPr>
                <w:sz w:val="18"/>
                <w:szCs w:val="18"/>
              </w:rPr>
            </w:pPr>
            <w:r>
              <w:rPr>
                <w:rFonts w:hint="eastAsia"/>
                <w:sz w:val="18"/>
                <w:szCs w:val="18"/>
              </w:rPr>
              <w:t>1</w:t>
            </w:r>
            <w:r>
              <w:rPr>
                <w:sz w:val="18"/>
                <w:szCs w:val="18"/>
              </w:rPr>
              <w:t>413</w:t>
            </w:r>
          </w:p>
        </w:tc>
        <w:tc>
          <w:tcPr>
            <w:tcW w:w="794" w:type="pct"/>
            <w:vAlign w:val="center"/>
          </w:tcPr>
          <w:p>
            <w:pPr>
              <w:pStyle w:val="56"/>
              <w:rPr>
                <w:sz w:val="18"/>
                <w:szCs w:val="18"/>
              </w:rPr>
            </w:pPr>
            <w:r>
              <w:rPr>
                <w:rFonts w:hint="eastAsia"/>
                <w:sz w:val="18"/>
                <w:szCs w:val="18"/>
              </w:rPr>
              <w:t>1</w:t>
            </w:r>
            <w:r>
              <w:rPr>
                <w:sz w:val="18"/>
                <w:szCs w:val="18"/>
              </w:rPr>
              <w:t>200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2</w:t>
            </w:r>
            <w:r>
              <w:rPr>
                <w:sz w:val="18"/>
                <w:szCs w:val="18"/>
              </w:rPr>
              <w:t>6</w:t>
            </w:r>
          </w:p>
        </w:tc>
        <w:tc>
          <w:tcPr>
            <w:tcW w:w="1194" w:type="pct"/>
            <w:vAlign w:val="center"/>
          </w:tcPr>
          <w:p>
            <w:pPr>
              <w:pStyle w:val="56"/>
              <w:rPr>
                <w:sz w:val="18"/>
                <w:szCs w:val="18"/>
              </w:rPr>
            </w:pPr>
            <w:r>
              <w:rPr>
                <w:rFonts w:hint="eastAsia"/>
                <w:sz w:val="18"/>
                <w:szCs w:val="18"/>
              </w:rPr>
              <w:t>沈阳长安寺</w:t>
            </w:r>
          </w:p>
        </w:tc>
        <w:tc>
          <w:tcPr>
            <w:tcW w:w="978" w:type="pct"/>
            <w:vAlign w:val="center"/>
          </w:tcPr>
          <w:p>
            <w:pPr>
              <w:pStyle w:val="56"/>
              <w:rPr>
                <w:sz w:val="18"/>
                <w:szCs w:val="18"/>
              </w:rPr>
            </w:pPr>
            <w:r>
              <w:rPr>
                <w:rFonts w:hint="eastAsia"/>
                <w:sz w:val="18"/>
                <w:szCs w:val="18"/>
              </w:rPr>
              <w:t>名胜古迹</w:t>
            </w:r>
          </w:p>
        </w:tc>
        <w:tc>
          <w:tcPr>
            <w:tcW w:w="794" w:type="pct"/>
            <w:vAlign w:val="center"/>
          </w:tcPr>
          <w:p>
            <w:pPr>
              <w:pStyle w:val="56"/>
              <w:rPr>
                <w:sz w:val="18"/>
                <w:szCs w:val="18"/>
              </w:rPr>
            </w:pPr>
            <w:r>
              <w:rPr>
                <w:rFonts w:hint="eastAsia"/>
                <w:sz w:val="18"/>
                <w:szCs w:val="18"/>
              </w:rPr>
              <w:t>N</w:t>
            </w:r>
            <w:r>
              <w:rPr>
                <w:sz w:val="18"/>
                <w:szCs w:val="18"/>
              </w:rPr>
              <w:t>W</w:t>
            </w:r>
          </w:p>
        </w:tc>
        <w:tc>
          <w:tcPr>
            <w:tcW w:w="794" w:type="pct"/>
            <w:vAlign w:val="center"/>
          </w:tcPr>
          <w:p>
            <w:pPr>
              <w:pStyle w:val="56"/>
              <w:rPr>
                <w:sz w:val="18"/>
                <w:szCs w:val="18"/>
              </w:rPr>
            </w:pPr>
            <w:r>
              <w:rPr>
                <w:rFonts w:hint="eastAsia"/>
                <w:sz w:val="18"/>
                <w:szCs w:val="18"/>
              </w:rPr>
              <w:t>1</w:t>
            </w:r>
            <w:r>
              <w:rPr>
                <w:sz w:val="18"/>
                <w:szCs w:val="18"/>
              </w:rPr>
              <w:t>340</w:t>
            </w:r>
          </w:p>
        </w:tc>
        <w:tc>
          <w:tcPr>
            <w:tcW w:w="794" w:type="pct"/>
            <w:vAlign w:val="center"/>
          </w:tcPr>
          <w:p>
            <w:pPr>
              <w:pStyle w:val="56"/>
              <w:rPr>
                <w:sz w:val="18"/>
                <w:szCs w:val="18"/>
              </w:rPr>
            </w:pPr>
            <w:r>
              <w:rPr>
                <w:rFonts w:hint="eastAsia"/>
                <w:sz w:val="18"/>
                <w:szCs w:val="18"/>
              </w:rPr>
              <w:t>1</w:t>
            </w:r>
            <w:r>
              <w:rPr>
                <w:sz w:val="18"/>
                <w:szCs w:val="18"/>
              </w:rPr>
              <w:t>135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vAlign w:val="center"/>
          </w:tcPr>
          <w:p>
            <w:pPr>
              <w:pStyle w:val="56"/>
              <w:rPr>
                <w:sz w:val="18"/>
                <w:szCs w:val="18"/>
              </w:rPr>
            </w:pPr>
            <w:r>
              <w:rPr>
                <w:rFonts w:hint="eastAsia"/>
                <w:sz w:val="18"/>
                <w:szCs w:val="18"/>
              </w:rPr>
              <w:t>2</w:t>
            </w:r>
            <w:r>
              <w:rPr>
                <w:sz w:val="18"/>
                <w:szCs w:val="18"/>
              </w:rPr>
              <w:t>7</w:t>
            </w:r>
          </w:p>
        </w:tc>
        <w:tc>
          <w:tcPr>
            <w:tcW w:w="1194" w:type="pct"/>
            <w:vAlign w:val="center"/>
          </w:tcPr>
          <w:p>
            <w:pPr>
              <w:pStyle w:val="56"/>
              <w:rPr>
                <w:sz w:val="18"/>
                <w:szCs w:val="18"/>
              </w:rPr>
            </w:pPr>
            <w:r>
              <w:rPr>
                <w:rFonts w:hint="eastAsia"/>
                <w:sz w:val="18"/>
                <w:szCs w:val="18"/>
              </w:rPr>
              <w:t>满洲中央银行造币厂旧址</w:t>
            </w:r>
          </w:p>
        </w:tc>
        <w:tc>
          <w:tcPr>
            <w:tcW w:w="978" w:type="pct"/>
            <w:vAlign w:val="center"/>
          </w:tcPr>
          <w:p>
            <w:pPr>
              <w:pStyle w:val="56"/>
              <w:rPr>
                <w:sz w:val="18"/>
                <w:szCs w:val="18"/>
              </w:rPr>
            </w:pPr>
            <w:r>
              <w:rPr>
                <w:rFonts w:hint="eastAsia"/>
                <w:sz w:val="18"/>
                <w:szCs w:val="18"/>
              </w:rPr>
              <w:t>名胜古迹</w:t>
            </w:r>
          </w:p>
        </w:tc>
        <w:tc>
          <w:tcPr>
            <w:tcW w:w="794" w:type="pct"/>
            <w:vAlign w:val="center"/>
          </w:tcPr>
          <w:p>
            <w:pPr>
              <w:pStyle w:val="56"/>
              <w:rPr>
                <w:sz w:val="18"/>
                <w:szCs w:val="18"/>
              </w:rPr>
            </w:pPr>
            <w:r>
              <w:rPr>
                <w:rFonts w:hint="eastAsia"/>
                <w:sz w:val="18"/>
                <w:szCs w:val="18"/>
              </w:rPr>
              <w:t>/</w:t>
            </w:r>
          </w:p>
        </w:tc>
        <w:tc>
          <w:tcPr>
            <w:tcW w:w="794" w:type="pct"/>
            <w:vAlign w:val="center"/>
          </w:tcPr>
          <w:p>
            <w:pPr>
              <w:pStyle w:val="56"/>
              <w:rPr>
                <w:sz w:val="18"/>
                <w:szCs w:val="18"/>
              </w:rPr>
            </w:pPr>
            <w:r>
              <w:rPr>
                <w:rFonts w:hint="eastAsia"/>
                <w:sz w:val="18"/>
                <w:szCs w:val="18"/>
              </w:rPr>
              <w:t>厂址内</w:t>
            </w:r>
          </w:p>
        </w:tc>
        <w:tc>
          <w:tcPr>
            <w:tcW w:w="794" w:type="pct"/>
            <w:vAlign w:val="center"/>
          </w:tcPr>
          <w:p>
            <w:pPr>
              <w:pStyle w:val="56"/>
              <w:rPr>
                <w:sz w:val="18"/>
                <w:szCs w:val="18"/>
              </w:rPr>
            </w:pPr>
            <w:r>
              <w:rPr>
                <w:rFonts w:hint="eastAsia"/>
                <w:sz w:val="18"/>
                <w:szCs w:val="18"/>
              </w:rPr>
              <w:t>/</w:t>
            </w:r>
          </w:p>
        </w:tc>
      </w:tr>
    </w:tbl>
    <w:p>
      <w:pPr>
        <w:pStyle w:val="2"/>
        <w:ind w:firstLine="0"/>
      </w:pPr>
    </w:p>
    <w:p>
      <w:pPr>
        <w:pStyle w:val="9"/>
      </w:pPr>
      <w:bookmarkStart w:id="62" w:name="_Toc30387"/>
      <w:bookmarkStart w:id="63" w:name="_Toc22878"/>
      <w:bookmarkStart w:id="64" w:name="_Toc11655"/>
      <w:bookmarkStart w:id="65" w:name="_Toc14933"/>
      <w:bookmarkStart w:id="66" w:name="_Toc20984"/>
      <w:r>
        <w:t>3.1.2  平面布置</w:t>
      </w:r>
      <w:bookmarkEnd w:id="62"/>
      <w:bookmarkEnd w:id="63"/>
      <w:bookmarkEnd w:id="64"/>
      <w:bookmarkEnd w:id="65"/>
      <w:bookmarkEnd w:id="66"/>
    </w:p>
    <w:p>
      <w:pPr>
        <w:spacing w:before="72" w:after="72"/>
        <w:ind w:firstLine="520"/>
      </w:pPr>
      <w:r>
        <w:rPr>
          <w:rFonts w:hint="eastAsia"/>
          <w:spacing w:val="10"/>
        </w:rPr>
        <w:t>本项目利用公司现有厂房新建</w:t>
      </w:r>
      <w:r>
        <w:rPr>
          <w:szCs w:val="21"/>
        </w:rPr>
        <w:t>彩喷生产线10条，年产</w:t>
      </w:r>
      <w:r>
        <w:rPr>
          <w:rFonts w:hint="eastAsia"/>
        </w:rPr>
        <w:t>铜合金纪念币</w:t>
      </w:r>
      <w:r>
        <w:rPr>
          <w:szCs w:val="21"/>
        </w:rPr>
        <w:t>1亿枚</w:t>
      </w:r>
      <w:r>
        <w:rPr>
          <w:rFonts w:hint="eastAsia"/>
          <w:szCs w:val="21"/>
        </w:rPr>
        <w:t>，建设地点位于造币三部厂房内。彩喷、擦拭废气通过专用密封罩全密封收集</w:t>
      </w:r>
      <w:r>
        <w:rPr>
          <w:rFonts w:hint="eastAsia"/>
          <w:szCs w:val="21"/>
          <w:lang w:eastAsia="zh-CN"/>
        </w:rPr>
        <w:t>，</w:t>
      </w:r>
      <w:r>
        <w:rPr>
          <w:rFonts w:hint="eastAsia"/>
          <w:szCs w:val="21"/>
          <w:lang w:val="en-US" w:eastAsia="zh-CN"/>
        </w:rPr>
        <w:t>经1套两级串联活性炭吸附装置处理</w:t>
      </w:r>
      <w:r>
        <w:rPr>
          <w:rFonts w:hint="eastAsia"/>
          <w:szCs w:val="21"/>
        </w:rPr>
        <w:t>；新建危废暂存间、新建原料库密封负压</w:t>
      </w:r>
      <w:r>
        <w:rPr>
          <w:rFonts w:hint="eastAsia"/>
          <w:szCs w:val="21"/>
          <w:lang w:eastAsia="zh-CN"/>
        </w:rPr>
        <w:t>，</w:t>
      </w:r>
      <w:r>
        <w:rPr>
          <w:rFonts w:hint="eastAsia"/>
          <w:szCs w:val="21"/>
          <w:lang w:val="en-US" w:eastAsia="zh-CN"/>
        </w:rPr>
        <w:t>经</w:t>
      </w:r>
      <w:r>
        <w:rPr>
          <w:rFonts w:hint="eastAsia"/>
          <w:szCs w:val="21"/>
        </w:rPr>
        <w:t>1套</w:t>
      </w:r>
      <w:r>
        <w:rPr>
          <w:rFonts w:hint="eastAsia"/>
          <w:szCs w:val="21"/>
          <w:lang w:val="en-US" w:eastAsia="zh-CN"/>
        </w:rPr>
        <w:t>两级串联活性炭吸附装置处理</w:t>
      </w:r>
      <w:r>
        <w:rPr>
          <w:rFonts w:hint="eastAsia"/>
          <w:szCs w:val="21"/>
        </w:rPr>
        <w:t>，</w:t>
      </w:r>
      <w:r>
        <w:rPr>
          <w:rFonts w:hint="eastAsia"/>
          <w:szCs w:val="21"/>
          <w:lang w:val="en-US" w:eastAsia="zh-CN"/>
        </w:rPr>
        <w:t>两股废气汇集在一起</w:t>
      </w:r>
      <w:r>
        <w:rPr>
          <w:rFonts w:hint="eastAsia"/>
          <w:szCs w:val="21"/>
        </w:rPr>
        <w:t>由</w:t>
      </w:r>
      <w:r>
        <w:rPr>
          <w:rFonts w:hint="eastAsia"/>
          <w:szCs w:val="21"/>
          <w:lang w:val="en-US" w:eastAsia="zh-CN"/>
        </w:rPr>
        <w:t>一根</w:t>
      </w:r>
      <w:r>
        <w:rPr>
          <w:rFonts w:hint="eastAsia"/>
          <w:szCs w:val="21"/>
        </w:rPr>
        <w:t>22m高排气筒排放。</w:t>
      </w:r>
      <w:r>
        <w:t>验收期间平面布置与环评阶段</w:t>
      </w:r>
      <w:r>
        <w:rPr>
          <w:rFonts w:hint="eastAsia"/>
          <w:lang w:val="en-US" w:eastAsia="zh-CN"/>
        </w:rPr>
        <w:t>基本</w:t>
      </w:r>
      <w:r>
        <w:t>一致，未发生变化。</w:t>
      </w:r>
    </w:p>
    <w:p>
      <w:pPr>
        <w:pStyle w:val="56"/>
      </w:pPr>
    </w:p>
    <w:p>
      <w:pPr>
        <w:pStyle w:val="8"/>
        <w:keepNext w:val="0"/>
        <w:keepLines w:val="0"/>
        <w:rPr>
          <w:color w:val="auto"/>
        </w:rPr>
      </w:pPr>
      <w:bookmarkStart w:id="67" w:name="_Toc12010"/>
      <w:bookmarkStart w:id="68" w:name="_Toc29334"/>
      <w:bookmarkStart w:id="69" w:name="_Toc47431937"/>
      <w:bookmarkStart w:id="70" w:name="_Toc1333"/>
      <w:bookmarkStart w:id="71" w:name="_Toc22261"/>
      <w:bookmarkStart w:id="72" w:name="_Toc3920"/>
      <w:bookmarkStart w:id="73" w:name="_Toc20734"/>
      <w:r>
        <w:rPr>
          <w:color w:val="auto"/>
        </w:rPr>
        <w:t>3.2  建设内容</w:t>
      </w:r>
      <w:bookmarkEnd w:id="67"/>
      <w:bookmarkEnd w:id="68"/>
      <w:bookmarkEnd w:id="69"/>
      <w:bookmarkEnd w:id="70"/>
      <w:bookmarkEnd w:id="71"/>
      <w:bookmarkEnd w:id="72"/>
      <w:bookmarkEnd w:id="73"/>
    </w:p>
    <w:p>
      <w:pPr>
        <w:pStyle w:val="9"/>
        <w:keepNext w:val="0"/>
        <w:keepLines w:val="0"/>
      </w:pPr>
      <w:bookmarkStart w:id="74" w:name="_Toc9422"/>
      <w:bookmarkStart w:id="75" w:name="_Toc14456"/>
      <w:bookmarkStart w:id="76" w:name="_Toc24923"/>
      <w:bookmarkStart w:id="77" w:name="_Toc15712"/>
      <w:bookmarkStart w:id="78" w:name="_Toc15463"/>
      <w:r>
        <w:t>3.2.1  项目产品及设计生产规模</w:t>
      </w:r>
      <w:bookmarkEnd w:id="74"/>
      <w:bookmarkEnd w:id="75"/>
      <w:bookmarkEnd w:id="76"/>
      <w:bookmarkEnd w:id="77"/>
      <w:bookmarkEnd w:id="78"/>
    </w:p>
    <w:p>
      <w:pPr>
        <w:ind w:firstLine="480"/>
        <w:rPr>
          <w:lang w:bidi="ar"/>
        </w:rPr>
      </w:pPr>
      <w:bookmarkStart w:id="79" w:name="_Toc14424"/>
      <w:bookmarkStart w:id="80" w:name="_Toc11492"/>
      <w:bookmarkStart w:id="81" w:name="_Toc1012"/>
      <w:r>
        <w:rPr>
          <w:rFonts w:hint="eastAsia"/>
          <w:lang w:bidi="ar"/>
        </w:rPr>
        <w:t>本项目仅为对现有产品中的1亿枚进行彩色喷绘，建成后，全厂产能不变，仍为</w:t>
      </w:r>
      <w:r>
        <w:t>75</w:t>
      </w:r>
      <w:r>
        <w:rPr>
          <w:rFonts w:hint="eastAsia"/>
          <w:lang w:bidi="ar"/>
        </w:rPr>
        <w:t>亿枚。</w:t>
      </w:r>
      <w:r>
        <w:rPr>
          <w:lang w:bidi="ar"/>
        </w:rPr>
        <w:t>项目主要产品设计产能见</w:t>
      </w:r>
      <w:r>
        <w:rPr>
          <w:rFonts w:hint="eastAsia"/>
          <w:lang w:bidi="ar"/>
        </w:rPr>
        <w:t>下表。</w:t>
      </w:r>
    </w:p>
    <w:p>
      <w:pPr>
        <w:pStyle w:val="139"/>
        <w:rPr>
          <w:lang w:bidi="ar"/>
        </w:rPr>
      </w:pPr>
    </w:p>
    <w:p>
      <w:pPr>
        <w:pStyle w:val="58"/>
      </w:pPr>
      <w:r>
        <w:t>表3.2-1                              项目产品方案</w:t>
      </w:r>
    </w:p>
    <w:tbl>
      <w:tblPr>
        <w:tblStyle w:val="46"/>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889"/>
        <w:gridCol w:w="3195"/>
        <w:gridCol w:w="1453"/>
        <w:gridCol w:w="174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shd w:val="clear" w:color="auto" w:fill="auto"/>
            <w:vAlign w:val="center"/>
          </w:tcPr>
          <w:p>
            <w:pPr>
              <w:pStyle w:val="56"/>
            </w:pPr>
            <w:r>
              <w:t>序号</w:t>
            </w:r>
          </w:p>
        </w:tc>
        <w:tc>
          <w:tcPr>
            <w:tcW w:w="1049" w:type="pct"/>
            <w:shd w:val="clear" w:color="auto" w:fill="auto"/>
            <w:vAlign w:val="center"/>
          </w:tcPr>
          <w:p>
            <w:pPr>
              <w:pStyle w:val="56"/>
            </w:pPr>
            <w:r>
              <w:t>产品名称</w:t>
            </w:r>
          </w:p>
        </w:tc>
        <w:tc>
          <w:tcPr>
            <w:tcW w:w="1774" w:type="pct"/>
            <w:vAlign w:val="center"/>
          </w:tcPr>
          <w:p>
            <w:pPr>
              <w:pStyle w:val="56"/>
            </w:pPr>
            <w:r>
              <w:rPr>
                <w:rFonts w:hint="eastAsia"/>
              </w:rPr>
              <w:t>规格</w:t>
            </w:r>
          </w:p>
        </w:tc>
        <w:tc>
          <w:tcPr>
            <w:tcW w:w="807" w:type="pct"/>
            <w:vAlign w:val="center"/>
          </w:tcPr>
          <w:p>
            <w:pPr>
              <w:pStyle w:val="56"/>
            </w:pPr>
            <w:r>
              <w:rPr>
                <w:rFonts w:hint="eastAsia"/>
              </w:rPr>
              <w:t>设计日</w:t>
            </w:r>
            <w:r>
              <w:t>产量</w:t>
            </w:r>
          </w:p>
        </w:tc>
        <w:tc>
          <w:tcPr>
            <w:tcW w:w="967" w:type="pct"/>
            <w:shd w:val="clear" w:color="auto" w:fill="auto"/>
            <w:vAlign w:val="center"/>
          </w:tcPr>
          <w:p>
            <w:pPr>
              <w:pStyle w:val="56"/>
            </w:pPr>
            <w:r>
              <w:rPr>
                <w:rFonts w:hint="eastAsia"/>
              </w:rPr>
              <w:t>调试期日</w:t>
            </w:r>
            <w:r>
              <w:t>产量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3" w:type="pct"/>
            <w:shd w:val="clear" w:color="auto" w:fill="auto"/>
            <w:vAlign w:val="center"/>
          </w:tcPr>
          <w:p>
            <w:pPr>
              <w:pStyle w:val="56"/>
            </w:pPr>
            <w:r>
              <w:t>1</w:t>
            </w:r>
          </w:p>
        </w:tc>
        <w:tc>
          <w:tcPr>
            <w:tcW w:w="1049" w:type="pct"/>
            <w:shd w:val="clear" w:color="auto" w:fill="auto"/>
            <w:vAlign w:val="center"/>
          </w:tcPr>
          <w:p>
            <w:pPr>
              <w:pStyle w:val="56"/>
            </w:pPr>
            <w:r>
              <w:t>铜合金纪念币</w:t>
            </w:r>
          </w:p>
        </w:tc>
        <w:tc>
          <w:tcPr>
            <w:tcW w:w="1774" w:type="pct"/>
            <w:vAlign w:val="center"/>
          </w:tcPr>
          <w:p>
            <w:pPr>
              <w:pStyle w:val="56"/>
            </w:pPr>
            <w:r>
              <w:rPr>
                <w:rFonts w:hint="eastAsia"/>
              </w:rPr>
              <w:t>直径：30mm，</w:t>
            </w:r>
          </w:p>
          <w:p>
            <w:pPr>
              <w:pStyle w:val="56"/>
            </w:pPr>
            <w:r>
              <w:rPr>
                <w:rFonts w:hint="eastAsia"/>
              </w:rPr>
              <w:t>厚度：2.17mm，材质：黄铜</w:t>
            </w:r>
          </w:p>
        </w:tc>
        <w:tc>
          <w:tcPr>
            <w:tcW w:w="807" w:type="pct"/>
            <w:vAlign w:val="center"/>
          </w:tcPr>
          <w:p>
            <w:pPr>
              <w:pStyle w:val="56"/>
            </w:pPr>
            <w:r>
              <w:rPr>
                <w:rFonts w:hint="eastAsia"/>
              </w:rPr>
              <w:t>40万</w:t>
            </w:r>
            <w:r>
              <w:t>枚</w:t>
            </w:r>
          </w:p>
        </w:tc>
        <w:tc>
          <w:tcPr>
            <w:tcW w:w="967" w:type="pct"/>
            <w:shd w:val="clear" w:color="auto" w:fill="auto"/>
            <w:vAlign w:val="center"/>
          </w:tcPr>
          <w:p>
            <w:pPr>
              <w:pStyle w:val="56"/>
            </w:pPr>
            <w:r>
              <w:rPr>
                <w:rFonts w:hint="eastAsia"/>
              </w:rPr>
              <w:t>36.5万</w:t>
            </w:r>
            <w:r>
              <w:t>枚</w:t>
            </w:r>
          </w:p>
        </w:tc>
      </w:tr>
    </w:tbl>
    <w:p>
      <w:pPr>
        <w:ind w:firstLine="360"/>
        <w:rPr>
          <w:rFonts w:eastAsia="黑体"/>
          <w:sz w:val="18"/>
          <w:szCs w:val="20"/>
        </w:rPr>
      </w:pPr>
    </w:p>
    <w:p>
      <w:pPr>
        <w:pStyle w:val="9"/>
        <w:spacing w:before="240" w:beforeLines="100"/>
      </w:pPr>
      <w:bookmarkStart w:id="82" w:name="_Toc23342"/>
      <w:bookmarkStart w:id="83" w:name="_Toc26771"/>
      <w:r>
        <w:t>3.2.2  项目工程组成和建设内容</w:t>
      </w:r>
      <w:bookmarkEnd w:id="79"/>
      <w:bookmarkEnd w:id="80"/>
      <w:bookmarkEnd w:id="81"/>
      <w:bookmarkEnd w:id="82"/>
      <w:bookmarkEnd w:id="83"/>
    </w:p>
    <w:p>
      <w:pPr>
        <w:ind w:firstLine="480"/>
      </w:pPr>
      <w:r>
        <w:t>沈阳造币有限公司厂址位于沈阳市大东区大东路138号，主要产品包括流通硬币、普通纪念币、金银纪念币</w:t>
      </w:r>
      <w:r>
        <w:rPr>
          <w:rFonts w:hint="eastAsia"/>
        </w:rPr>
        <w:t>，全厂年产硬币</w:t>
      </w:r>
      <w:r>
        <w:t>75</w:t>
      </w:r>
      <w:r>
        <w:rPr>
          <w:rFonts w:hint="eastAsia"/>
        </w:rPr>
        <w:t>亿枚</w:t>
      </w:r>
      <w:r>
        <w:t>。</w:t>
      </w:r>
      <w:r>
        <w:rPr>
          <w:rFonts w:hint="eastAsia"/>
        </w:rPr>
        <w:t>本项目利用厂区现有厂房实际投资4200万元，新建彩喷生产线10条，开展纪念币的彩喷业务，年产铜合金纪念币1亿枚</w:t>
      </w:r>
      <w:r>
        <w:t>。</w:t>
      </w:r>
    </w:p>
    <w:p>
      <w:pPr>
        <w:ind w:firstLine="480"/>
      </w:pPr>
      <w:r>
        <w:t>本项目验收期间项目组成见</w:t>
      </w:r>
      <w:r>
        <w:rPr>
          <w:rFonts w:hint="eastAsia"/>
        </w:rPr>
        <w:t>下表</w:t>
      </w:r>
      <w:r>
        <w:t>。</w:t>
      </w:r>
    </w:p>
    <w:p>
      <w:pPr>
        <w:pStyle w:val="139"/>
      </w:pPr>
    </w:p>
    <w:p>
      <w:pPr>
        <w:pStyle w:val="58"/>
      </w:pPr>
      <w:r>
        <w:t>表3.2-2                            验收项目组成一览表</w:t>
      </w:r>
    </w:p>
    <w:tbl>
      <w:tblPr>
        <w:tblStyle w:val="151"/>
        <w:tblW w:w="4997"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411"/>
        <w:gridCol w:w="2426"/>
        <w:gridCol w:w="2802"/>
        <w:gridCol w:w="115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Align w:val="center"/>
          </w:tcPr>
          <w:p>
            <w:pPr>
              <w:spacing w:line="240" w:lineRule="auto"/>
              <w:ind w:firstLine="0" w:firstLineChars="0"/>
              <w:jc w:val="center"/>
              <w:rPr>
                <w:bCs/>
                <w:sz w:val="21"/>
                <w:szCs w:val="21"/>
              </w:rPr>
            </w:pPr>
            <w:bookmarkStart w:id="84" w:name="_Toc14815"/>
            <w:bookmarkStart w:id="85" w:name="_Toc47431938"/>
            <w:r>
              <w:rPr>
                <w:bCs/>
                <w:sz w:val="21"/>
                <w:szCs w:val="21"/>
              </w:rPr>
              <w:t>工程类别</w:t>
            </w:r>
          </w:p>
        </w:tc>
        <w:tc>
          <w:tcPr>
            <w:tcW w:w="784" w:type="pct"/>
            <w:vAlign w:val="center"/>
          </w:tcPr>
          <w:p>
            <w:pPr>
              <w:spacing w:line="240" w:lineRule="auto"/>
              <w:ind w:firstLine="0" w:firstLineChars="0"/>
              <w:jc w:val="center"/>
              <w:rPr>
                <w:bCs/>
                <w:sz w:val="21"/>
                <w:szCs w:val="21"/>
              </w:rPr>
            </w:pPr>
            <w:r>
              <w:rPr>
                <w:rFonts w:hint="eastAsia"/>
                <w:bCs/>
                <w:sz w:val="21"/>
                <w:szCs w:val="21"/>
              </w:rPr>
              <w:t>项目</w:t>
            </w:r>
            <w:r>
              <w:rPr>
                <w:bCs/>
                <w:sz w:val="21"/>
                <w:szCs w:val="21"/>
              </w:rPr>
              <w:t>名称</w:t>
            </w:r>
          </w:p>
        </w:tc>
        <w:tc>
          <w:tcPr>
            <w:tcW w:w="1348" w:type="pct"/>
            <w:vAlign w:val="center"/>
          </w:tcPr>
          <w:p>
            <w:pPr>
              <w:spacing w:line="240" w:lineRule="auto"/>
              <w:ind w:firstLine="0" w:firstLineChars="0"/>
              <w:jc w:val="center"/>
              <w:rPr>
                <w:bCs/>
                <w:sz w:val="21"/>
                <w:szCs w:val="21"/>
              </w:rPr>
            </w:pPr>
            <w:r>
              <w:rPr>
                <w:bCs/>
                <w:sz w:val="21"/>
                <w:szCs w:val="21"/>
              </w:rPr>
              <w:t>环评建设内容及规模</w:t>
            </w:r>
          </w:p>
        </w:tc>
        <w:tc>
          <w:tcPr>
            <w:tcW w:w="1557" w:type="pct"/>
            <w:vAlign w:val="center"/>
          </w:tcPr>
          <w:p>
            <w:pPr>
              <w:spacing w:line="240" w:lineRule="auto"/>
              <w:ind w:firstLine="0" w:firstLineChars="0"/>
              <w:jc w:val="center"/>
              <w:rPr>
                <w:bCs/>
                <w:sz w:val="21"/>
                <w:szCs w:val="21"/>
              </w:rPr>
            </w:pPr>
            <w:r>
              <w:rPr>
                <w:bCs/>
                <w:sz w:val="21"/>
                <w:szCs w:val="21"/>
              </w:rPr>
              <w:t>实际建设情况</w:t>
            </w:r>
          </w:p>
        </w:tc>
        <w:tc>
          <w:tcPr>
            <w:tcW w:w="642" w:type="pct"/>
            <w:vAlign w:val="center"/>
          </w:tcPr>
          <w:p>
            <w:pPr>
              <w:spacing w:line="240" w:lineRule="auto"/>
              <w:ind w:firstLine="0" w:firstLineChars="0"/>
              <w:jc w:val="center"/>
              <w:rPr>
                <w:bCs/>
                <w:sz w:val="21"/>
                <w:szCs w:val="21"/>
              </w:rPr>
            </w:pPr>
            <w:r>
              <w:rPr>
                <w:bCs/>
                <w:sz w:val="21"/>
                <w:szCs w:val="21"/>
              </w:rPr>
              <w:t>变动情况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Align w:val="center"/>
          </w:tcPr>
          <w:p>
            <w:pPr>
              <w:spacing w:line="240" w:lineRule="auto"/>
              <w:ind w:firstLine="0" w:firstLineChars="0"/>
              <w:jc w:val="center"/>
              <w:rPr>
                <w:bCs/>
                <w:sz w:val="21"/>
                <w:szCs w:val="21"/>
              </w:rPr>
            </w:pPr>
            <w:r>
              <w:rPr>
                <w:bCs/>
                <w:sz w:val="21"/>
                <w:szCs w:val="21"/>
              </w:rPr>
              <w:t>主体工程</w:t>
            </w:r>
          </w:p>
        </w:tc>
        <w:tc>
          <w:tcPr>
            <w:tcW w:w="784" w:type="pct"/>
            <w:vAlign w:val="center"/>
          </w:tcPr>
          <w:p>
            <w:pPr>
              <w:spacing w:line="240" w:lineRule="auto"/>
              <w:ind w:firstLine="0" w:firstLineChars="0"/>
              <w:jc w:val="center"/>
              <w:rPr>
                <w:bCs/>
                <w:sz w:val="21"/>
                <w:szCs w:val="21"/>
              </w:rPr>
            </w:pPr>
            <w:r>
              <w:rPr>
                <w:bCs/>
                <w:sz w:val="21"/>
                <w:szCs w:val="21"/>
              </w:rPr>
              <w:t>厂房</w:t>
            </w:r>
          </w:p>
        </w:tc>
        <w:tc>
          <w:tcPr>
            <w:tcW w:w="1348" w:type="pct"/>
            <w:vAlign w:val="center"/>
          </w:tcPr>
          <w:p>
            <w:pPr>
              <w:spacing w:line="240" w:lineRule="auto"/>
              <w:ind w:firstLine="0" w:firstLineChars="0"/>
              <w:jc w:val="center"/>
              <w:rPr>
                <w:bCs/>
                <w:sz w:val="21"/>
                <w:szCs w:val="21"/>
              </w:rPr>
            </w:pPr>
            <w:r>
              <w:rPr>
                <w:bCs/>
                <w:sz w:val="21"/>
                <w:szCs w:val="21"/>
              </w:rPr>
              <w:t>新建彩喷生产线10条，年产</w:t>
            </w:r>
            <w:r>
              <w:rPr>
                <w:rFonts w:hint="eastAsia"/>
                <w:bCs/>
                <w:sz w:val="21"/>
                <w:szCs w:val="21"/>
              </w:rPr>
              <w:t>铜合金纪念币</w:t>
            </w:r>
            <w:r>
              <w:rPr>
                <w:bCs/>
                <w:sz w:val="21"/>
                <w:szCs w:val="21"/>
              </w:rPr>
              <w:t>1亿枚</w:t>
            </w:r>
          </w:p>
        </w:tc>
        <w:tc>
          <w:tcPr>
            <w:tcW w:w="1557" w:type="pct"/>
            <w:vAlign w:val="center"/>
          </w:tcPr>
          <w:p>
            <w:pPr>
              <w:spacing w:line="240" w:lineRule="auto"/>
              <w:ind w:firstLine="0" w:firstLineChars="0"/>
              <w:jc w:val="center"/>
              <w:rPr>
                <w:bCs/>
                <w:sz w:val="21"/>
                <w:szCs w:val="21"/>
              </w:rPr>
            </w:pPr>
            <w:r>
              <w:rPr>
                <w:bCs/>
                <w:sz w:val="21"/>
                <w:szCs w:val="21"/>
              </w:rPr>
              <w:t>新建彩喷生产线10条，年产</w:t>
            </w:r>
            <w:r>
              <w:rPr>
                <w:rFonts w:hint="eastAsia"/>
                <w:bCs/>
                <w:sz w:val="21"/>
                <w:szCs w:val="21"/>
              </w:rPr>
              <w:t>铜合金纪念币</w:t>
            </w:r>
            <w:r>
              <w:rPr>
                <w:bCs/>
                <w:sz w:val="21"/>
                <w:szCs w:val="21"/>
              </w:rPr>
              <w:t>1亿枚</w:t>
            </w:r>
          </w:p>
        </w:tc>
        <w:tc>
          <w:tcPr>
            <w:tcW w:w="642" w:type="pct"/>
            <w:vAlign w:val="center"/>
          </w:tcPr>
          <w:p>
            <w:pPr>
              <w:spacing w:line="240" w:lineRule="auto"/>
              <w:ind w:firstLine="0" w:firstLineChars="0"/>
              <w:jc w:val="center"/>
              <w:rPr>
                <w:bCs/>
                <w:sz w:val="21"/>
                <w:szCs w:val="21"/>
              </w:rPr>
            </w:pPr>
            <w:r>
              <w:rPr>
                <w:rFonts w:hint="eastAsia"/>
                <w:bCs/>
                <w:sz w:val="21"/>
                <w:szCs w:val="21"/>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restart"/>
            <w:vAlign w:val="center"/>
          </w:tcPr>
          <w:p>
            <w:pPr>
              <w:spacing w:line="240" w:lineRule="auto"/>
              <w:ind w:firstLine="0" w:firstLineChars="0"/>
              <w:jc w:val="center"/>
              <w:rPr>
                <w:bCs/>
                <w:sz w:val="21"/>
                <w:szCs w:val="21"/>
              </w:rPr>
            </w:pPr>
            <w:r>
              <w:rPr>
                <w:rFonts w:hint="eastAsia"/>
                <w:bCs/>
                <w:sz w:val="21"/>
                <w:szCs w:val="21"/>
              </w:rPr>
              <w:t>储运</w:t>
            </w:r>
            <w:r>
              <w:rPr>
                <w:bCs/>
                <w:sz w:val="21"/>
                <w:szCs w:val="21"/>
              </w:rPr>
              <w:t xml:space="preserve">工程                                    </w:t>
            </w:r>
          </w:p>
        </w:tc>
        <w:tc>
          <w:tcPr>
            <w:tcW w:w="784" w:type="pct"/>
            <w:vAlign w:val="center"/>
          </w:tcPr>
          <w:p>
            <w:pPr>
              <w:spacing w:line="240" w:lineRule="auto"/>
              <w:ind w:firstLine="0" w:firstLineChars="0"/>
              <w:jc w:val="center"/>
              <w:rPr>
                <w:bCs/>
                <w:sz w:val="21"/>
                <w:szCs w:val="21"/>
              </w:rPr>
            </w:pPr>
            <w:r>
              <w:rPr>
                <w:rFonts w:hint="eastAsia"/>
                <w:bCs/>
                <w:sz w:val="21"/>
                <w:szCs w:val="21"/>
              </w:rPr>
              <w:t>原料</w:t>
            </w:r>
            <w:r>
              <w:rPr>
                <w:bCs/>
                <w:sz w:val="21"/>
                <w:szCs w:val="21"/>
              </w:rPr>
              <w:t>仓库</w:t>
            </w:r>
          </w:p>
        </w:tc>
        <w:tc>
          <w:tcPr>
            <w:tcW w:w="1348" w:type="pct"/>
            <w:vAlign w:val="center"/>
          </w:tcPr>
          <w:p>
            <w:pPr>
              <w:spacing w:line="240" w:lineRule="auto"/>
              <w:ind w:firstLine="0" w:firstLineChars="0"/>
              <w:jc w:val="center"/>
              <w:rPr>
                <w:bCs/>
                <w:sz w:val="21"/>
                <w:szCs w:val="21"/>
              </w:rPr>
            </w:pPr>
            <w:r>
              <w:rPr>
                <w:rFonts w:hint="eastAsia"/>
                <w:bCs/>
                <w:sz w:val="21"/>
                <w:szCs w:val="21"/>
              </w:rPr>
              <w:t>存储油墨，建筑面积1</w:t>
            </w:r>
            <w:r>
              <w:rPr>
                <w:bCs/>
                <w:sz w:val="21"/>
                <w:szCs w:val="21"/>
              </w:rPr>
              <w:t>3.44</w:t>
            </w:r>
            <w:r>
              <w:rPr>
                <w:rFonts w:hint="eastAsia"/>
                <w:bCs/>
                <w:sz w:val="21"/>
                <w:szCs w:val="21"/>
              </w:rPr>
              <w:t>平方米</w:t>
            </w:r>
          </w:p>
        </w:tc>
        <w:tc>
          <w:tcPr>
            <w:tcW w:w="1557" w:type="pct"/>
            <w:vAlign w:val="center"/>
          </w:tcPr>
          <w:p>
            <w:pPr>
              <w:spacing w:line="240" w:lineRule="auto"/>
              <w:ind w:firstLine="0" w:firstLineChars="0"/>
              <w:jc w:val="center"/>
              <w:rPr>
                <w:bCs/>
                <w:sz w:val="21"/>
                <w:szCs w:val="21"/>
              </w:rPr>
            </w:pPr>
            <w:r>
              <w:rPr>
                <w:rFonts w:hint="eastAsia"/>
                <w:bCs/>
                <w:sz w:val="21"/>
                <w:szCs w:val="21"/>
              </w:rPr>
              <w:t>存储油墨，建筑面积1</w:t>
            </w:r>
            <w:r>
              <w:rPr>
                <w:bCs/>
                <w:sz w:val="21"/>
                <w:szCs w:val="21"/>
              </w:rPr>
              <w:t>3.44</w:t>
            </w:r>
            <w:r>
              <w:rPr>
                <w:rFonts w:hint="eastAsia"/>
                <w:bCs/>
                <w:sz w:val="21"/>
                <w:szCs w:val="21"/>
              </w:rPr>
              <w:t>平方米</w:t>
            </w:r>
          </w:p>
        </w:tc>
        <w:tc>
          <w:tcPr>
            <w:tcW w:w="642" w:type="pct"/>
            <w:vAlign w:val="center"/>
          </w:tcPr>
          <w:p>
            <w:pPr>
              <w:spacing w:line="240" w:lineRule="auto"/>
              <w:ind w:firstLine="420"/>
              <w:jc w:val="left"/>
              <w:rPr>
                <w:bCs/>
                <w:sz w:val="21"/>
                <w:szCs w:val="21"/>
              </w:rPr>
            </w:pPr>
            <w:r>
              <w:rPr>
                <w:rFonts w:hint="eastAsia"/>
                <w:bCs/>
                <w:sz w:val="21"/>
                <w:szCs w:val="21"/>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vAlign w:val="center"/>
          </w:tcPr>
          <w:p>
            <w:pPr>
              <w:spacing w:line="240" w:lineRule="auto"/>
              <w:ind w:firstLine="0" w:firstLineChars="0"/>
              <w:jc w:val="center"/>
              <w:rPr>
                <w:bCs/>
                <w:sz w:val="21"/>
                <w:szCs w:val="21"/>
              </w:rPr>
            </w:pPr>
          </w:p>
        </w:tc>
        <w:tc>
          <w:tcPr>
            <w:tcW w:w="784" w:type="pct"/>
            <w:vAlign w:val="center"/>
          </w:tcPr>
          <w:p>
            <w:pPr>
              <w:spacing w:line="240" w:lineRule="auto"/>
              <w:ind w:firstLine="0" w:firstLineChars="0"/>
              <w:jc w:val="center"/>
              <w:rPr>
                <w:bCs/>
                <w:sz w:val="21"/>
                <w:szCs w:val="21"/>
              </w:rPr>
            </w:pPr>
            <w:r>
              <w:rPr>
                <w:rFonts w:hint="eastAsia"/>
                <w:bCs/>
                <w:sz w:val="21"/>
                <w:szCs w:val="21"/>
              </w:rPr>
              <w:t>危废暂存间</w:t>
            </w:r>
          </w:p>
        </w:tc>
        <w:tc>
          <w:tcPr>
            <w:tcW w:w="1348" w:type="pct"/>
            <w:vAlign w:val="center"/>
          </w:tcPr>
          <w:p>
            <w:pPr>
              <w:spacing w:line="240" w:lineRule="auto"/>
              <w:ind w:firstLine="0" w:firstLineChars="0"/>
              <w:jc w:val="center"/>
              <w:rPr>
                <w:bCs/>
                <w:sz w:val="21"/>
                <w:szCs w:val="21"/>
              </w:rPr>
            </w:pPr>
            <w:r>
              <w:rPr>
                <w:rFonts w:hint="eastAsia"/>
                <w:bCs/>
                <w:sz w:val="21"/>
                <w:szCs w:val="21"/>
              </w:rPr>
              <w:t>存储本项目产生危废，建筑面积1</w:t>
            </w:r>
            <w:r>
              <w:rPr>
                <w:bCs/>
                <w:sz w:val="21"/>
                <w:szCs w:val="21"/>
              </w:rPr>
              <w:t>3.44</w:t>
            </w:r>
            <w:r>
              <w:rPr>
                <w:rFonts w:hint="eastAsia"/>
                <w:bCs/>
                <w:sz w:val="21"/>
                <w:szCs w:val="21"/>
              </w:rPr>
              <w:t>平方米</w:t>
            </w:r>
          </w:p>
        </w:tc>
        <w:tc>
          <w:tcPr>
            <w:tcW w:w="1557" w:type="pct"/>
            <w:vAlign w:val="center"/>
          </w:tcPr>
          <w:p>
            <w:pPr>
              <w:spacing w:line="240" w:lineRule="auto"/>
              <w:ind w:firstLine="0" w:firstLineChars="0"/>
              <w:jc w:val="center"/>
              <w:rPr>
                <w:bCs/>
                <w:sz w:val="21"/>
                <w:szCs w:val="21"/>
              </w:rPr>
            </w:pPr>
            <w:r>
              <w:rPr>
                <w:rFonts w:hint="eastAsia"/>
                <w:bCs/>
                <w:sz w:val="21"/>
                <w:szCs w:val="21"/>
              </w:rPr>
              <w:t>存储本项目产生危废，建筑面积1</w:t>
            </w:r>
            <w:r>
              <w:rPr>
                <w:bCs/>
                <w:sz w:val="21"/>
                <w:szCs w:val="21"/>
              </w:rPr>
              <w:t>3.44</w:t>
            </w:r>
            <w:r>
              <w:rPr>
                <w:rFonts w:hint="eastAsia"/>
                <w:bCs/>
                <w:sz w:val="21"/>
                <w:szCs w:val="21"/>
              </w:rPr>
              <w:t>平方米</w:t>
            </w:r>
          </w:p>
        </w:tc>
        <w:tc>
          <w:tcPr>
            <w:tcW w:w="642" w:type="pct"/>
            <w:vAlign w:val="center"/>
          </w:tcPr>
          <w:p>
            <w:pPr>
              <w:spacing w:line="240" w:lineRule="auto"/>
              <w:ind w:firstLine="420"/>
              <w:jc w:val="left"/>
              <w:rPr>
                <w:bCs/>
                <w:sz w:val="21"/>
                <w:szCs w:val="21"/>
              </w:rPr>
            </w:pPr>
            <w:r>
              <w:rPr>
                <w:rFonts w:hint="eastAsia"/>
                <w:bCs/>
                <w:sz w:val="21"/>
                <w:szCs w:val="21"/>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restart"/>
            <w:vAlign w:val="center"/>
          </w:tcPr>
          <w:p>
            <w:pPr>
              <w:spacing w:line="240" w:lineRule="auto"/>
              <w:ind w:firstLine="0" w:firstLineChars="0"/>
              <w:jc w:val="center"/>
              <w:rPr>
                <w:bCs/>
                <w:sz w:val="21"/>
                <w:szCs w:val="21"/>
              </w:rPr>
            </w:pPr>
            <w:r>
              <w:rPr>
                <w:bCs/>
                <w:sz w:val="21"/>
                <w:szCs w:val="21"/>
              </w:rPr>
              <w:t>公用工程</w:t>
            </w:r>
          </w:p>
        </w:tc>
        <w:tc>
          <w:tcPr>
            <w:tcW w:w="784" w:type="pct"/>
            <w:vAlign w:val="center"/>
          </w:tcPr>
          <w:p>
            <w:pPr>
              <w:spacing w:line="240" w:lineRule="auto"/>
              <w:ind w:firstLine="0" w:firstLineChars="0"/>
              <w:jc w:val="center"/>
              <w:rPr>
                <w:bCs/>
                <w:sz w:val="21"/>
                <w:szCs w:val="21"/>
              </w:rPr>
            </w:pPr>
            <w:r>
              <w:rPr>
                <w:bCs/>
                <w:sz w:val="21"/>
                <w:szCs w:val="21"/>
              </w:rPr>
              <w:t>供电系统</w:t>
            </w:r>
          </w:p>
        </w:tc>
        <w:tc>
          <w:tcPr>
            <w:tcW w:w="1348" w:type="pct"/>
            <w:vAlign w:val="center"/>
          </w:tcPr>
          <w:p>
            <w:pPr>
              <w:spacing w:line="240" w:lineRule="auto"/>
              <w:ind w:firstLine="0" w:firstLineChars="0"/>
              <w:jc w:val="center"/>
              <w:rPr>
                <w:bCs/>
                <w:sz w:val="21"/>
                <w:szCs w:val="21"/>
              </w:rPr>
            </w:pPr>
            <w:r>
              <w:rPr>
                <w:bCs/>
                <w:sz w:val="21"/>
                <w:szCs w:val="21"/>
              </w:rPr>
              <w:t>市政供电，依托全厂供电系统</w:t>
            </w:r>
          </w:p>
        </w:tc>
        <w:tc>
          <w:tcPr>
            <w:tcW w:w="1557" w:type="pct"/>
            <w:vAlign w:val="center"/>
          </w:tcPr>
          <w:p>
            <w:pPr>
              <w:spacing w:line="240" w:lineRule="auto"/>
              <w:ind w:firstLine="0" w:firstLineChars="0"/>
              <w:jc w:val="center"/>
              <w:rPr>
                <w:bCs/>
                <w:sz w:val="21"/>
                <w:szCs w:val="21"/>
              </w:rPr>
            </w:pPr>
            <w:r>
              <w:rPr>
                <w:bCs/>
                <w:sz w:val="21"/>
                <w:szCs w:val="21"/>
              </w:rPr>
              <w:t>市政供电，依托全厂供电系统</w:t>
            </w:r>
          </w:p>
        </w:tc>
        <w:tc>
          <w:tcPr>
            <w:tcW w:w="642" w:type="pct"/>
            <w:vAlign w:val="center"/>
          </w:tcPr>
          <w:p>
            <w:pPr>
              <w:spacing w:line="240" w:lineRule="auto"/>
              <w:ind w:firstLine="420"/>
              <w:jc w:val="left"/>
              <w:rPr>
                <w:bCs/>
                <w:sz w:val="21"/>
                <w:szCs w:val="21"/>
              </w:rPr>
            </w:pPr>
            <w:r>
              <w:rPr>
                <w:rFonts w:hint="eastAsia"/>
                <w:bCs/>
                <w:sz w:val="21"/>
                <w:szCs w:val="21"/>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vAlign w:val="center"/>
          </w:tcPr>
          <w:p>
            <w:pPr>
              <w:spacing w:line="240" w:lineRule="auto"/>
              <w:ind w:firstLine="0" w:firstLineChars="0"/>
              <w:jc w:val="center"/>
              <w:rPr>
                <w:bCs/>
                <w:sz w:val="21"/>
                <w:szCs w:val="21"/>
              </w:rPr>
            </w:pPr>
          </w:p>
        </w:tc>
        <w:tc>
          <w:tcPr>
            <w:tcW w:w="784" w:type="pct"/>
            <w:vAlign w:val="center"/>
          </w:tcPr>
          <w:p>
            <w:pPr>
              <w:spacing w:line="240" w:lineRule="auto"/>
              <w:ind w:firstLine="0" w:firstLineChars="0"/>
              <w:jc w:val="center"/>
              <w:rPr>
                <w:bCs/>
                <w:sz w:val="21"/>
                <w:szCs w:val="21"/>
              </w:rPr>
            </w:pPr>
            <w:r>
              <w:rPr>
                <w:bCs/>
                <w:sz w:val="21"/>
                <w:szCs w:val="21"/>
              </w:rPr>
              <w:t>供热系统</w:t>
            </w:r>
          </w:p>
        </w:tc>
        <w:tc>
          <w:tcPr>
            <w:tcW w:w="1348" w:type="pct"/>
            <w:vAlign w:val="center"/>
          </w:tcPr>
          <w:p>
            <w:pPr>
              <w:spacing w:line="240" w:lineRule="auto"/>
              <w:ind w:firstLine="0" w:firstLineChars="0"/>
              <w:jc w:val="center"/>
              <w:rPr>
                <w:bCs/>
                <w:sz w:val="21"/>
                <w:szCs w:val="21"/>
              </w:rPr>
            </w:pPr>
            <w:r>
              <w:rPr>
                <w:bCs/>
                <w:sz w:val="21"/>
                <w:szCs w:val="21"/>
              </w:rPr>
              <w:t>由沈阳市第二热力供暖公司集中供热</w:t>
            </w:r>
          </w:p>
        </w:tc>
        <w:tc>
          <w:tcPr>
            <w:tcW w:w="1557" w:type="pct"/>
            <w:vAlign w:val="center"/>
          </w:tcPr>
          <w:p>
            <w:pPr>
              <w:spacing w:line="240" w:lineRule="auto"/>
              <w:ind w:firstLine="0" w:firstLineChars="0"/>
              <w:jc w:val="center"/>
              <w:rPr>
                <w:bCs/>
                <w:sz w:val="21"/>
                <w:szCs w:val="21"/>
              </w:rPr>
            </w:pPr>
            <w:r>
              <w:rPr>
                <w:bCs/>
                <w:sz w:val="21"/>
                <w:szCs w:val="21"/>
              </w:rPr>
              <w:t>由沈阳市第二热力供暖公司集中供热</w:t>
            </w:r>
          </w:p>
        </w:tc>
        <w:tc>
          <w:tcPr>
            <w:tcW w:w="642" w:type="pct"/>
            <w:vAlign w:val="center"/>
          </w:tcPr>
          <w:p>
            <w:pPr>
              <w:spacing w:line="240" w:lineRule="auto"/>
              <w:ind w:firstLine="420"/>
              <w:jc w:val="left"/>
              <w:rPr>
                <w:bCs/>
                <w:sz w:val="21"/>
                <w:szCs w:val="21"/>
              </w:rPr>
            </w:pPr>
            <w:r>
              <w:rPr>
                <w:rFonts w:hint="eastAsia"/>
                <w:bCs/>
                <w:sz w:val="21"/>
                <w:szCs w:val="21"/>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vAlign w:val="center"/>
          </w:tcPr>
          <w:p>
            <w:pPr>
              <w:spacing w:line="240" w:lineRule="auto"/>
              <w:ind w:firstLine="0" w:firstLineChars="0"/>
              <w:jc w:val="center"/>
              <w:rPr>
                <w:bCs/>
                <w:sz w:val="21"/>
                <w:szCs w:val="21"/>
              </w:rPr>
            </w:pPr>
          </w:p>
        </w:tc>
        <w:tc>
          <w:tcPr>
            <w:tcW w:w="784" w:type="pct"/>
            <w:vAlign w:val="center"/>
          </w:tcPr>
          <w:p>
            <w:pPr>
              <w:spacing w:line="240" w:lineRule="auto"/>
              <w:ind w:firstLine="0" w:firstLineChars="0"/>
              <w:jc w:val="center"/>
              <w:rPr>
                <w:bCs/>
                <w:sz w:val="21"/>
                <w:szCs w:val="21"/>
              </w:rPr>
            </w:pPr>
            <w:r>
              <w:rPr>
                <w:bCs/>
                <w:sz w:val="21"/>
                <w:szCs w:val="21"/>
              </w:rPr>
              <w:t>供水系统</w:t>
            </w:r>
          </w:p>
        </w:tc>
        <w:tc>
          <w:tcPr>
            <w:tcW w:w="1348" w:type="pct"/>
            <w:vAlign w:val="center"/>
          </w:tcPr>
          <w:p>
            <w:pPr>
              <w:spacing w:line="240" w:lineRule="auto"/>
              <w:ind w:firstLine="0" w:firstLineChars="0"/>
              <w:jc w:val="center"/>
              <w:rPr>
                <w:bCs/>
                <w:sz w:val="21"/>
                <w:szCs w:val="21"/>
              </w:rPr>
            </w:pPr>
            <w:r>
              <w:rPr>
                <w:bCs/>
                <w:sz w:val="21"/>
                <w:szCs w:val="21"/>
              </w:rPr>
              <w:t>市政供水，依托公司内现供水系统</w:t>
            </w:r>
          </w:p>
        </w:tc>
        <w:tc>
          <w:tcPr>
            <w:tcW w:w="1557" w:type="pct"/>
            <w:vAlign w:val="center"/>
          </w:tcPr>
          <w:p>
            <w:pPr>
              <w:spacing w:line="240" w:lineRule="auto"/>
              <w:ind w:firstLine="0" w:firstLineChars="0"/>
              <w:jc w:val="center"/>
              <w:rPr>
                <w:bCs/>
                <w:sz w:val="21"/>
                <w:szCs w:val="21"/>
              </w:rPr>
            </w:pPr>
            <w:r>
              <w:rPr>
                <w:bCs/>
                <w:sz w:val="21"/>
                <w:szCs w:val="21"/>
              </w:rPr>
              <w:t>市政供水，依托公司内现供水系统</w:t>
            </w:r>
          </w:p>
        </w:tc>
        <w:tc>
          <w:tcPr>
            <w:tcW w:w="642" w:type="pct"/>
            <w:vAlign w:val="center"/>
          </w:tcPr>
          <w:p>
            <w:pPr>
              <w:spacing w:line="240" w:lineRule="auto"/>
              <w:ind w:firstLine="420"/>
              <w:jc w:val="left"/>
              <w:rPr>
                <w:bCs/>
                <w:sz w:val="21"/>
                <w:szCs w:val="21"/>
              </w:rPr>
            </w:pPr>
            <w:r>
              <w:rPr>
                <w:rFonts w:hint="eastAsia"/>
                <w:bCs/>
                <w:sz w:val="21"/>
                <w:szCs w:val="21"/>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vAlign w:val="center"/>
          </w:tcPr>
          <w:p>
            <w:pPr>
              <w:spacing w:line="240" w:lineRule="auto"/>
              <w:ind w:firstLine="0" w:firstLineChars="0"/>
              <w:jc w:val="center"/>
              <w:rPr>
                <w:bCs/>
                <w:sz w:val="21"/>
                <w:szCs w:val="21"/>
              </w:rPr>
            </w:pPr>
          </w:p>
        </w:tc>
        <w:tc>
          <w:tcPr>
            <w:tcW w:w="784" w:type="pct"/>
            <w:vAlign w:val="center"/>
          </w:tcPr>
          <w:p>
            <w:pPr>
              <w:spacing w:line="240" w:lineRule="auto"/>
              <w:ind w:firstLine="0" w:firstLineChars="0"/>
              <w:jc w:val="center"/>
              <w:rPr>
                <w:bCs/>
                <w:sz w:val="21"/>
                <w:szCs w:val="21"/>
              </w:rPr>
            </w:pPr>
            <w:r>
              <w:rPr>
                <w:bCs/>
                <w:sz w:val="21"/>
                <w:szCs w:val="21"/>
              </w:rPr>
              <w:t>排水系统</w:t>
            </w:r>
          </w:p>
        </w:tc>
        <w:tc>
          <w:tcPr>
            <w:tcW w:w="1348" w:type="pct"/>
            <w:vAlign w:val="center"/>
          </w:tcPr>
          <w:p>
            <w:pPr>
              <w:spacing w:line="240" w:lineRule="auto"/>
              <w:ind w:firstLine="0" w:firstLineChars="0"/>
              <w:jc w:val="center"/>
              <w:rPr>
                <w:bCs/>
                <w:sz w:val="21"/>
                <w:szCs w:val="21"/>
              </w:rPr>
            </w:pPr>
            <w:r>
              <w:rPr>
                <w:bCs/>
                <w:sz w:val="21"/>
                <w:szCs w:val="21"/>
              </w:rPr>
              <w:t>生活污水经化粪池处理排入污水站处理，进入市政污水管网，最终进入南部污水处理厂</w:t>
            </w:r>
          </w:p>
        </w:tc>
        <w:tc>
          <w:tcPr>
            <w:tcW w:w="1557" w:type="pct"/>
            <w:vAlign w:val="center"/>
          </w:tcPr>
          <w:p>
            <w:pPr>
              <w:spacing w:line="240" w:lineRule="auto"/>
              <w:ind w:firstLine="0" w:firstLineChars="0"/>
              <w:jc w:val="center"/>
              <w:rPr>
                <w:bCs/>
                <w:sz w:val="21"/>
                <w:szCs w:val="21"/>
              </w:rPr>
            </w:pPr>
            <w:r>
              <w:rPr>
                <w:rFonts w:hint="eastAsia"/>
                <w:sz w:val="21"/>
                <w:szCs w:val="22"/>
              </w:rPr>
              <w:t>本项目仍旧依托厂内污水站处理后排入污水处理厂进行处理。</w:t>
            </w:r>
          </w:p>
        </w:tc>
        <w:tc>
          <w:tcPr>
            <w:tcW w:w="642" w:type="pct"/>
            <w:vAlign w:val="center"/>
          </w:tcPr>
          <w:p>
            <w:pPr>
              <w:spacing w:line="240" w:lineRule="auto"/>
              <w:ind w:firstLine="420"/>
              <w:jc w:val="left"/>
              <w:rPr>
                <w:bCs/>
                <w:sz w:val="21"/>
                <w:szCs w:val="21"/>
              </w:rPr>
            </w:pPr>
            <w:r>
              <w:rPr>
                <w:rFonts w:hint="eastAsia"/>
                <w:bCs/>
                <w:sz w:val="21"/>
                <w:szCs w:val="21"/>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restart"/>
            <w:vAlign w:val="center"/>
          </w:tcPr>
          <w:p>
            <w:pPr>
              <w:spacing w:line="240" w:lineRule="auto"/>
              <w:ind w:firstLine="0" w:firstLineChars="0"/>
              <w:jc w:val="center"/>
              <w:rPr>
                <w:bCs/>
                <w:sz w:val="21"/>
                <w:szCs w:val="21"/>
              </w:rPr>
            </w:pPr>
            <w:r>
              <w:rPr>
                <w:bCs/>
                <w:sz w:val="21"/>
                <w:szCs w:val="21"/>
              </w:rPr>
              <w:t>环保工程</w:t>
            </w:r>
          </w:p>
        </w:tc>
        <w:tc>
          <w:tcPr>
            <w:tcW w:w="784" w:type="pct"/>
            <w:vAlign w:val="center"/>
          </w:tcPr>
          <w:p>
            <w:pPr>
              <w:spacing w:line="240" w:lineRule="auto"/>
              <w:ind w:firstLine="0" w:firstLineChars="0"/>
              <w:jc w:val="center"/>
              <w:rPr>
                <w:bCs/>
                <w:sz w:val="21"/>
                <w:szCs w:val="21"/>
              </w:rPr>
            </w:pPr>
            <w:r>
              <w:rPr>
                <w:bCs/>
                <w:sz w:val="21"/>
                <w:szCs w:val="21"/>
              </w:rPr>
              <w:t>废气防治</w:t>
            </w:r>
          </w:p>
        </w:tc>
        <w:tc>
          <w:tcPr>
            <w:tcW w:w="1348" w:type="pct"/>
            <w:vAlign w:val="center"/>
          </w:tcPr>
          <w:p>
            <w:pPr>
              <w:spacing w:line="240" w:lineRule="auto"/>
              <w:ind w:firstLine="0" w:firstLineChars="0"/>
              <w:jc w:val="center"/>
              <w:rPr>
                <w:bCs/>
                <w:sz w:val="21"/>
                <w:szCs w:val="21"/>
              </w:rPr>
            </w:pPr>
            <w:r>
              <w:rPr>
                <w:bCs/>
                <w:sz w:val="21"/>
                <w:szCs w:val="21"/>
              </w:rPr>
              <w:t>彩喷机</w:t>
            </w:r>
            <w:r>
              <w:rPr>
                <w:rFonts w:hint="eastAsia"/>
                <w:bCs/>
                <w:sz w:val="21"/>
                <w:szCs w:val="21"/>
              </w:rPr>
              <w:t>设置在专用密封罩中，为全封闭设计，每5台彩喷机设置在</w:t>
            </w:r>
            <w:r>
              <w:rPr>
                <w:bCs/>
                <w:sz w:val="21"/>
                <w:szCs w:val="21"/>
              </w:rPr>
              <w:t>1</w:t>
            </w:r>
            <w:r>
              <w:rPr>
                <w:rFonts w:hint="eastAsia"/>
                <w:bCs/>
                <w:sz w:val="21"/>
                <w:szCs w:val="21"/>
              </w:rPr>
              <w:t>个密闭罩；危废间、油墨存储间全封闭设计，废气经密封收集，和彩喷工艺废气共同</w:t>
            </w:r>
            <w:r>
              <w:rPr>
                <w:bCs/>
                <w:sz w:val="21"/>
                <w:szCs w:val="21"/>
              </w:rPr>
              <w:t>经活性炭吸附处理，处理后由</w:t>
            </w:r>
            <w:r>
              <w:rPr>
                <w:rFonts w:hint="eastAsia"/>
                <w:bCs/>
                <w:sz w:val="21"/>
                <w:szCs w:val="21"/>
              </w:rPr>
              <w:t>1根22</w:t>
            </w:r>
            <w:r>
              <w:rPr>
                <w:bCs/>
                <w:sz w:val="21"/>
                <w:szCs w:val="21"/>
              </w:rPr>
              <w:t>m高排气筒排放。</w:t>
            </w:r>
          </w:p>
        </w:tc>
        <w:tc>
          <w:tcPr>
            <w:tcW w:w="1557" w:type="pct"/>
            <w:vAlign w:val="center"/>
          </w:tcPr>
          <w:p>
            <w:pPr>
              <w:spacing w:line="240" w:lineRule="auto"/>
              <w:ind w:firstLine="0" w:firstLineChars="0"/>
              <w:jc w:val="center"/>
              <w:rPr>
                <w:bCs/>
                <w:sz w:val="21"/>
                <w:szCs w:val="21"/>
              </w:rPr>
            </w:pPr>
            <w:r>
              <w:rPr>
                <w:bCs/>
                <w:sz w:val="21"/>
                <w:szCs w:val="21"/>
              </w:rPr>
              <w:t>彩喷机</w:t>
            </w:r>
            <w:r>
              <w:rPr>
                <w:rFonts w:hint="eastAsia"/>
                <w:bCs/>
                <w:sz w:val="21"/>
                <w:szCs w:val="21"/>
              </w:rPr>
              <w:t>设置在专用密封罩中，为全封闭设计，每5台彩喷机设置在</w:t>
            </w:r>
            <w:r>
              <w:rPr>
                <w:bCs/>
                <w:sz w:val="21"/>
                <w:szCs w:val="21"/>
              </w:rPr>
              <w:t>1</w:t>
            </w:r>
            <w:r>
              <w:rPr>
                <w:rFonts w:hint="eastAsia"/>
                <w:bCs/>
                <w:sz w:val="21"/>
                <w:szCs w:val="21"/>
              </w:rPr>
              <w:t>个密闭罩</w:t>
            </w:r>
            <w:r>
              <w:rPr>
                <w:rFonts w:hint="eastAsia"/>
                <w:bCs/>
                <w:sz w:val="21"/>
                <w:szCs w:val="21"/>
                <w:lang w:eastAsia="zh-CN"/>
              </w:rPr>
              <w:t>，</w:t>
            </w:r>
            <w:r>
              <w:rPr>
                <w:rFonts w:hint="eastAsia"/>
                <w:bCs/>
                <w:sz w:val="21"/>
                <w:szCs w:val="21"/>
                <w:lang w:val="en-US" w:eastAsia="zh-CN"/>
              </w:rPr>
              <w:t>经1套两级串联活性炭吸附装置处理</w:t>
            </w:r>
            <w:r>
              <w:rPr>
                <w:rFonts w:hint="eastAsia"/>
                <w:bCs/>
                <w:sz w:val="21"/>
                <w:szCs w:val="21"/>
              </w:rPr>
              <w:t>；危废间、油墨存储间全封闭设计，废气</w:t>
            </w:r>
            <w:r>
              <w:rPr>
                <w:bCs/>
                <w:sz w:val="21"/>
                <w:szCs w:val="21"/>
              </w:rPr>
              <w:t>经</w:t>
            </w:r>
            <w:r>
              <w:rPr>
                <w:rFonts w:hint="eastAsia"/>
                <w:bCs/>
                <w:sz w:val="21"/>
                <w:szCs w:val="21"/>
                <w:lang w:val="en-US" w:eastAsia="zh-CN"/>
              </w:rPr>
              <w:t>1套两级串联活性炭吸附装置处理</w:t>
            </w:r>
            <w:r>
              <w:rPr>
                <w:bCs/>
                <w:sz w:val="21"/>
                <w:szCs w:val="21"/>
              </w:rPr>
              <w:t>，</w:t>
            </w:r>
            <w:r>
              <w:rPr>
                <w:rFonts w:hint="eastAsia"/>
                <w:bCs/>
                <w:sz w:val="21"/>
                <w:szCs w:val="21"/>
                <w:lang w:val="en-US" w:eastAsia="zh-CN"/>
              </w:rPr>
              <w:t>两股废气汇集在一起</w:t>
            </w:r>
            <w:r>
              <w:rPr>
                <w:bCs/>
                <w:sz w:val="21"/>
                <w:szCs w:val="21"/>
              </w:rPr>
              <w:t>由</w:t>
            </w:r>
            <w:r>
              <w:rPr>
                <w:rFonts w:hint="eastAsia"/>
                <w:bCs/>
                <w:sz w:val="21"/>
                <w:szCs w:val="21"/>
              </w:rPr>
              <w:t>1根22</w:t>
            </w:r>
            <w:r>
              <w:rPr>
                <w:bCs/>
                <w:sz w:val="21"/>
                <w:szCs w:val="21"/>
              </w:rPr>
              <w:t>m高排气筒排放。</w:t>
            </w:r>
          </w:p>
        </w:tc>
        <w:tc>
          <w:tcPr>
            <w:tcW w:w="642" w:type="pct"/>
            <w:vAlign w:val="center"/>
          </w:tcPr>
          <w:p>
            <w:pPr>
              <w:spacing w:line="240" w:lineRule="auto"/>
              <w:ind w:firstLine="420"/>
              <w:jc w:val="left"/>
              <w:rPr>
                <w:bCs/>
                <w:sz w:val="21"/>
                <w:szCs w:val="21"/>
              </w:rPr>
            </w:pPr>
            <w:r>
              <w:rPr>
                <w:rFonts w:hint="eastAsia"/>
                <w:bCs/>
                <w:sz w:val="21"/>
                <w:szCs w:val="21"/>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vAlign w:val="center"/>
          </w:tcPr>
          <w:p>
            <w:pPr>
              <w:spacing w:line="240" w:lineRule="auto"/>
              <w:ind w:firstLine="0" w:firstLineChars="0"/>
              <w:jc w:val="center"/>
              <w:rPr>
                <w:bCs/>
                <w:sz w:val="21"/>
                <w:szCs w:val="21"/>
              </w:rPr>
            </w:pPr>
          </w:p>
        </w:tc>
        <w:tc>
          <w:tcPr>
            <w:tcW w:w="784" w:type="pct"/>
            <w:vAlign w:val="center"/>
          </w:tcPr>
          <w:p>
            <w:pPr>
              <w:spacing w:line="240" w:lineRule="auto"/>
              <w:ind w:firstLine="0" w:firstLineChars="0"/>
              <w:jc w:val="center"/>
              <w:rPr>
                <w:bCs/>
                <w:sz w:val="21"/>
                <w:szCs w:val="21"/>
              </w:rPr>
            </w:pPr>
            <w:r>
              <w:rPr>
                <w:bCs/>
                <w:sz w:val="21"/>
                <w:szCs w:val="21"/>
              </w:rPr>
              <w:t>噪声防治</w:t>
            </w:r>
          </w:p>
        </w:tc>
        <w:tc>
          <w:tcPr>
            <w:tcW w:w="1348" w:type="pct"/>
            <w:vAlign w:val="center"/>
          </w:tcPr>
          <w:p>
            <w:pPr>
              <w:spacing w:line="240" w:lineRule="auto"/>
              <w:ind w:firstLine="0" w:firstLineChars="0"/>
              <w:jc w:val="center"/>
              <w:rPr>
                <w:bCs/>
                <w:sz w:val="21"/>
                <w:szCs w:val="21"/>
              </w:rPr>
            </w:pPr>
            <w:r>
              <w:rPr>
                <w:bCs/>
                <w:sz w:val="21"/>
                <w:szCs w:val="21"/>
              </w:rPr>
              <w:t>隔声、减震</w:t>
            </w:r>
          </w:p>
        </w:tc>
        <w:tc>
          <w:tcPr>
            <w:tcW w:w="1557" w:type="pct"/>
            <w:vAlign w:val="center"/>
          </w:tcPr>
          <w:p>
            <w:pPr>
              <w:spacing w:line="240" w:lineRule="auto"/>
              <w:ind w:firstLine="0" w:firstLineChars="0"/>
              <w:jc w:val="center"/>
              <w:rPr>
                <w:bCs/>
                <w:sz w:val="21"/>
                <w:szCs w:val="21"/>
              </w:rPr>
            </w:pPr>
            <w:r>
              <w:rPr>
                <w:bCs/>
                <w:sz w:val="21"/>
                <w:szCs w:val="21"/>
              </w:rPr>
              <w:t>隔声、减震</w:t>
            </w:r>
          </w:p>
        </w:tc>
        <w:tc>
          <w:tcPr>
            <w:tcW w:w="642" w:type="pct"/>
            <w:vAlign w:val="center"/>
          </w:tcPr>
          <w:p>
            <w:pPr>
              <w:spacing w:line="240" w:lineRule="auto"/>
              <w:ind w:firstLine="420"/>
              <w:jc w:val="left"/>
              <w:rPr>
                <w:bCs/>
                <w:sz w:val="21"/>
                <w:szCs w:val="21"/>
              </w:rPr>
            </w:pPr>
            <w:r>
              <w:rPr>
                <w:rFonts w:hint="eastAsia"/>
                <w:bCs/>
                <w:sz w:val="21"/>
                <w:szCs w:val="21"/>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vAlign w:val="center"/>
          </w:tcPr>
          <w:p>
            <w:pPr>
              <w:spacing w:line="240" w:lineRule="auto"/>
              <w:ind w:firstLine="0" w:firstLineChars="0"/>
              <w:jc w:val="center"/>
              <w:rPr>
                <w:bCs/>
                <w:sz w:val="21"/>
                <w:szCs w:val="21"/>
              </w:rPr>
            </w:pPr>
          </w:p>
        </w:tc>
        <w:tc>
          <w:tcPr>
            <w:tcW w:w="784" w:type="pct"/>
            <w:vAlign w:val="center"/>
          </w:tcPr>
          <w:p>
            <w:pPr>
              <w:spacing w:line="240" w:lineRule="auto"/>
              <w:ind w:firstLine="0" w:firstLineChars="0"/>
              <w:jc w:val="center"/>
              <w:rPr>
                <w:bCs/>
                <w:sz w:val="21"/>
                <w:szCs w:val="21"/>
              </w:rPr>
            </w:pPr>
            <w:r>
              <w:rPr>
                <w:bCs/>
                <w:sz w:val="21"/>
                <w:szCs w:val="21"/>
              </w:rPr>
              <w:t>固废防治</w:t>
            </w:r>
          </w:p>
        </w:tc>
        <w:tc>
          <w:tcPr>
            <w:tcW w:w="1348" w:type="pct"/>
            <w:vAlign w:val="center"/>
          </w:tcPr>
          <w:p>
            <w:pPr>
              <w:spacing w:line="240" w:lineRule="auto"/>
              <w:ind w:firstLine="0" w:firstLineChars="0"/>
              <w:jc w:val="center"/>
              <w:rPr>
                <w:bCs/>
                <w:sz w:val="21"/>
                <w:szCs w:val="21"/>
              </w:rPr>
            </w:pPr>
            <w:r>
              <w:rPr>
                <w:bCs/>
                <w:sz w:val="21"/>
                <w:szCs w:val="21"/>
              </w:rPr>
              <w:t>废包装材料及不合格品等存于一般固废暂存间</w:t>
            </w:r>
          </w:p>
        </w:tc>
        <w:tc>
          <w:tcPr>
            <w:tcW w:w="1557" w:type="pct"/>
            <w:vAlign w:val="center"/>
          </w:tcPr>
          <w:p>
            <w:pPr>
              <w:spacing w:line="240" w:lineRule="auto"/>
              <w:ind w:firstLine="0" w:firstLineChars="0"/>
              <w:jc w:val="center"/>
              <w:rPr>
                <w:bCs/>
                <w:sz w:val="21"/>
                <w:szCs w:val="21"/>
              </w:rPr>
            </w:pPr>
            <w:r>
              <w:rPr>
                <w:bCs/>
                <w:sz w:val="21"/>
                <w:szCs w:val="21"/>
              </w:rPr>
              <w:t>废包装材料及不合格品等存于一般固废暂存间</w:t>
            </w:r>
          </w:p>
        </w:tc>
        <w:tc>
          <w:tcPr>
            <w:tcW w:w="642" w:type="pct"/>
            <w:vAlign w:val="center"/>
          </w:tcPr>
          <w:p>
            <w:pPr>
              <w:spacing w:line="240" w:lineRule="auto"/>
              <w:ind w:firstLine="420"/>
              <w:jc w:val="left"/>
              <w:rPr>
                <w:bCs/>
                <w:sz w:val="21"/>
                <w:szCs w:val="21"/>
              </w:rPr>
            </w:pPr>
            <w:r>
              <w:rPr>
                <w:rFonts w:hint="eastAsia"/>
                <w:bCs/>
                <w:sz w:val="21"/>
                <w:szCs w:val="21"/>
              </w:rPr>
              <w:t>无</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0" w:type="pct"/>
            <w:vMerge w:val="continue"/>
            <w:vAlign w:val="center"/>
          </w:tcPr>
          <w:p>
            <w:pPr>
              <w:spacing w:line="240" w:lineRule="auto"/>
              <w:ind w:firstLine="0" w:firstLineChars="0"/>
              <w:jc w:val="center"/>
              <w:rPr>
                <w:bCs/>
                <w:sz w:val="21"/>
                <w:szCs w:val="21"/>
              </w:rPr>
            </w:pPr>
          </w:p>
        </w:tc>
        <w:tc>
          <w:tcPr>
            <w:tcW w:w="784" w:type="pct"/>
            <w:vAlign w:val="center"/>
          </w:tcPr>
          <w:p>
            <w:pPr>
              <w:spacing w:line="240" w:lineRule="auto"/>
              <w:ind w:firstLine="0" w:firstLineChars="0"/>
              <w:jc w:val="center"/>
              <w:rPr>
                <w:bCs/>
                <w:sz w:val="21"/>
                <w:szCs w:val="21"/>
              </w:rPr>
            </w:pPr>
            <w:r>
              <w:rPr>
                <w:bCs/>
                <w:sz w:val="21"/>
                <w:szCs w:val="21"/>
              </w:rPr>
              <w:t>危险废物</w:t>
            </w:r>
          </w:p>
        </w:tc>
        <w:tc>
          <w:tcPr>
            <w:tcW w:w="1348" w:type="pct"/>
            <w:vAlign w:val="center"/>
          </w:tcPr>
          <w:p>
            <w:pPr>
              <w:spacing w:line="240" w:lineRule="auto"/>
              <w:ind w:firstLine="0" w:firstLineChars="0"/>
              <w:jc w:val="center"/>
              <w:rPr>
                <w:bCs/>
                <w:sz w:val="21"/>
                <w:szCs w:val="21"/>
              </w:rPr>
            </w:pPr>
            <w:r>
              <w:rPr>
                <w:bCs/>
                <w:sz w:val="21"/>
                <w:szCs w:val="21"/>
              </w:rPr>
              <w:t>废油墨盒、废活性炭</w:t>
            </w:r>
            <w:r>
              <w:rPr>
                <w:rFonts w:hint="eastAsia"/>
                <w:bCs/>
                <w:sz w:val="21"/>
                <w:szCs w:val="21"/>
              </w:rPr>
              <w:t>、废擦拭抹布、废油墨、废喷头清洗剂</w:t>
            </w:r>
          </w:p>
          <w:p>
            <w:pPr>
              <w:spacing w:line="240" w:lineRule="auto"/>
              <w:ind w:firstLine="0" w:firstLineChars="0"/>
              <w:jc w:val="center"/>
              <w:rPr>
                <w:bCs/>
                <w:sz w:val="21"/>
                <w:szCs w:val="21"/>
              </w:rPr>
            </w:pPr>
            <w:r>
              <w:rPr>
                <w:rFonts w:hint="eastAsia"/>
                <w:bCs/>
                <w:sz w:val="21"/>
                <w:szCs w:val="21"/>
              </w:rPr>
              <w:t>暂存于危废暂存间，定期交由有资质单位处理</w:t>
            </w:r>
          </w:p>
        </w:tc>
        <w:tc>
          <w:tcPr>
            <w:tcW w:w="1557" w:type="pct"/>
            <w:vAlign w:val="center"/>
          </w:tcPr>
          <w:p>
            <w:pPr>
              <w:spacing w:line="240" w:lineRule="auto"/>
              <w:ind w:firstLine="0" w:firstLineChars="0"/>
              <w:jc w:val="center"/>
              <w:rPr>
                <w:bCs/>
                <w:sz w:val="21"/>
                <w:szCs w:val="21"/>
              </w:rPr>
            </w:pPr>
            <w:r>
              <w:rPr>
                <w:bCs/>
                <w:sz w:val="21"/>
                <w:szCs w:val="21"/>
              </w:rPr>
              <w:t>废油墨盒、废活性炭</w:t>
            </w:r>
            <w:r>
              <w:rPr>
                <w:rFonts w:hint="eastAsia"/>
                <w:bCs/>
                <w:sz w:val="21"/>
                <w:szCs w:val="21"/>
              </w:rPr>
              <w:t>、废擦拭抹布、废油墨、废喷头清洗剂暂存于危废暂存间，定期交由阜新环发废弃物处置有限公司处理。</w:t>
            </w:r>
          </w:p>
        </w:tc>
        <w:tc>
          <w:tcPr>
            <w:tcW w:w="642" w:type="pct"/>
            <w:vAlign w:val="center"/>
          </w:tcPr>
          <w:p>
            <w:pPr>
              <w:spacing w:line="240" w:lineRule="auto"/>
              <w:ind w:firstLine="0" w:firstLineChars="0"/>
              <w:jc w:val="center"/>
              <w:rPr>
                <w:bCs/>
                <w:sz w:val="21"/>
                <w:szCs w:val="21"/>
              </w:rPr>
            </w:pPr>
            <w:r>
              <w:rPr>
                <w:rFonts w:hint="eastAsia"/>
                <w:bCs/>
                <w:sz w:val="21"/>
                <w:szCs w:val="21"/>
              </w:rPr>
              <w:t>无</w:t>
            </w:r>
          </w:p>
        </w:tc>
      </w:tr>
    </w:tbl>
    <w:p>
      <w:pPr>
        <w:pStyle w:val="56"/>
      </w:pPr>
      <w:bookmarkStart w:id="86" w:name="_Toc19965"/>
      <w:bookmarkStart w:id="87" w:name="_Toc10209"/>
      <w:bookmarkStart w:id="88" w:name="_Toc11200"/>
      <w:bookmarkStart w:id="89" w:name="_Toc7511"/>
      <w:bookmarkStart w:id="90" w:name="_Toc11582"/>
    </w:p>
    <w:p>
      <w:pPr>
        <w:pStyle w:val="8"/>
        <w:keepNext w:val="0"/>
        <w:keepLines w:val="0"/>
        <w:spacing w:before="240" w:beforeLines="100"/>
        <w:rPr>
          <w:color w:val="auto"/>
        </w:rPr>
      </w:pPr>
      <w:bookmarkStart w:id="91" w:name="_Toc10632"/>
      <w:r>
        <w:rPr>
          <w:color w:val="auto"/>
        </w:rPr>
        <w:t>3.3  主要生产设备</w:t>
      </w:r>
      <w:bookmarkEnd w:id="86"/>
      <w:bookmarkEnd w:id="87"/>
      <w:bookmarkEnd w:id="88"/>
      <w:bookmarkEnd w:id="89"/>
      <w:bookmarkEnd w:id="90"/>
      <w:bookmarkEnd w:id="91"/>
    </w:p>
    <w:p>
      <w:pPr>
        <w:spacing w:before="72" w:after="72"/>
        <w:ind w:firstLine="480"/>
      </w:pPr>
      <w:r>
        <w:t>本项目验收期间主要设备情况见下表。</w:t>
      </w:r>
    </w:p>
    <w:p>
      <w:pPr>
        <w:pStyle w:val="58"/>
      </w:pPr>
      <w:r>
        <w:t>表3.3-1                          主要生产设备一览表</w:t>
      </w:r>
    </w:p>
    <w:tbl>
      <w:tblPr>
        <w:tblStyle w:val="46"/>
        <w:tblW w:w="0" w:type="auto"/>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825"/>
        <w:gridCol w:w="1399"/>
        <w:gridCol w:w="1183"/>
        <w:gridCol w:w="820"/>
        <w:gridCol w:w="283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7" w:type="dxa"/>
            <w:shd w:val="clear" w:color="auto" w:fill="auto"/>
            <w:vAlign w:val="center"/>
          </w:tcPr>
          <w:p>
            <w:pPr>
              <w:spacing w:line="240" w:lineRule="auto"/>
              <w:ind w:firstLine="0" w:firstLineChars="0"/>
              <w:jc w:val="center"/>
              <w:rPr>
                <w:sz w:val="21"/>
                <w:szCs w:val="21"/>
              </w:rPr>
            </w:pPr>
            <w:bookmarkStart w:id="92" w:name="_Toc23028"/>
            <w:bookmarkStart w:id="93" w:name="_Toc7877"/>
            <w:bookmarkStart w:id="94" w:name="_Toc24239"/>
            <w:bookmarkStart w:id="95" w:name="_Toc30364"/>
            <w:bookmarkStart w:id="96" w:name="_Toc13128"/>
            <w:r>
              <w:rPr>
                <w:sz w:val="21"/>
                <w:szCs w:val="21"/>
              </w:rPr>
              <w:t>序号</w:t>
            </w:r>
          </w:p>
        </w:tc>
        <w:tc>
          <w:tcPr>
            <w:tcW w:w="1825" w:type="dxa"/>
            <w:shd w:val="clear" w:color="auto" w:fill="auto"/>
            <w:vAlign w:val="center"/>
          </w:tcPr>
          <w:p>
            <w:pPr>
              <w:spacing w:line="240" w:lineRule="auto"/>
              <w:ind w:firstLine="0" w:firstLineChars="0"/>
              <w:jc w:val="center"/>
              <w:rPr>
                <w:sz w:val="21"/>
                <w:szCs w:val="21"/>
              </w:rPr>
            </w:pPr>
            <w:r>
              <w:rPr>
                <w:rFonts w:hint="eastAsia"/>
                <w:sz w:val="21"/>
                <w:szCs w:val="21"/>
              </w:rPr>
              <w:t>设备名称</w:t>
            </w:r>
          </w:p>
        </w:tc>
        <w:tc>
          <w:tcPr>
            <w:tcW w:w="1399" w:type="dxa"/>
            <w:shd w:val="clear" w:color="auto" w:fill="auto"/>
            <w:vAlign w:val="center"/>
          </w:tcPr>
          <w:p>
            <w:pPr>
              <w:spacing w:line="240" w:lineRule="auto"/>
              <w:ind w:firstLine="0" w:firstLineChars="0"/>
              <w:jc w:val="center"/>
              <w:rPr>
                <w:sz w:val="21"/>
                <w:szCs w:val="21"/>
              </w:rPr>
            </w:pPr>
            <w:r>
              <w:rPr>
                <w:rFonts w:hint="eastAsia"/>
              </w:rPr>
              <w:t>设计数量</w:t>
            </w:r>
          </w:p>
        </w:tc>
        <w:tc>
          <w:tcPr>
            <w:tcW w:w="1183" w:type="dxa"/>
            <w:vAlign w:val="center"/>
          </w:tcPr>
          <w:p>
            <w:pPr>
              <w:spacing w:line="240" w:lineRule="auto"/>
              <w:ind w:firstLine="0" w:firstLineChars="0"/>
              <w:jc w:val="center"/>
              <w:rPr>
                <w:sz w:val="21"/>
                <w:szCs w:val="21"/>
              </w:rPr>
            </w:pPr>
            <w:r>
              <w:rPr>
                <w:rFonts w:hint="eastAsia"/>
              </w:rPr>
              <w:t>实际数量</w:t>
            </w:r>
          </w:p>
        </w:tc>
        <w:tc>
          <w:tcPr>
            <w:tcW w:w="820" w:type="dxa"/>
            <w:shd w:val="clear" w:color="auto" w:fill="auto"/>
            <w:vAlign w:val="center"/>
          </w:tcPr>
          <w:p>
            <w:pPr>
              <w:spacing w:line="240" w:lineRule="auto"/>
              <w:ind w:firstLine="0" w:firstLineChars="0"/>
              <w:jc w:val="center"/>
              <w:rPr>
                <w:sz w:val="21"/>
                <w:szCs w:val="21"/>
              </w:rPr>
            </w:pPr>
            <w:r>
              <w:rPr>
                <w:sz w:val="21"/>
                <w:szCs w:val="21"/>
              </w:rPr>
              <w:t>型号</w:t>
            </w:r>
          </w:p>
        </w:tc>
        <w:tc>
          <w:tcPr>
            <w:tcW w:w="2833" w:type="dxa"/>
            <w:shd w:val="clear" w:color="auto" w:fill="auto"/>
            <w:vAlign w:val="center"/>
          </w:tcPr>
          <w:p>
            <w:pPr>
              <w:spacing w:line="240" w:lineRule="auto"/>
              <w:ind w:firstLine="0" w:firstLineChars="0"/>
              <w:jc w:val="center"/>
              <w:rPr>
                <w:sz w:val="21"/>
                <w:szCs w:val="21"/>
              </w:rPr>
            </w:pPr>
            <w:r>
              <w:rPr>
                <w:sz w:val="21"/>
                <w:szCs w:val="21"/>
              </w:rPr>
              <w:t>参数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27" w:type="dxa"/>
            <w:shd w:val="clear" w:color="auto" w:fill="auto"/>
            <w:vAlign w:val="center"/>
          </w:tcPr>
          <w:p>
            <w:pPr>
              <w:spacing w:line="240" w:lineRule="auto"/>
              <w:ind w:firstLine="0" w:firstLineChars="0"/>
              <w:jc w:val="center"/>
              <w:rPr>
                <w:sz w:val="21"/>
                <w:szCs w:val="21"/>
              </w:rPr>
            </w:pPr>
            <w:r>
              <w:rPr>
                <w:sz w:val="21"/>
                <w:szCs w:val="21"/>
              </w:rPr>
              <w:t>1</w:t>
            </w:r>
          </w:p>
        </w:tc>
        <w:tc>
          <w:tcPr>
            <w:tcW w:w="1825" w:type="dxa"/>
            <w:shd w:val="clear" w:color="auto" w:fill="auto"/>
            <w:vAlign w:val="center"/>
          </w:tcPr>
          <w:p>
            <w:pPr>
              <w:spacing w:line="240" w:lineRule="auto"/>
              <w:ind w:firstLine="0" w:firstLineChars="0"/>
              <w:jc w:val="center"/>
              <w:rPr>
                <w:sz w:val="21"/>
                <w:szCs w:val="21"/>
              </w:rPr>
            </w:pPr>
            <w:r>
              <w:rPr>
                <w:sz w:val="21"/>
                <w:szCs w:val="21"/>
              </w:rPr>
              <w:t>彩喷机</w:t>
            </w:r>
          </w:p>
        </w:tc>
        <w:tc>
          <w:tcPr>
            <w:tcW w:w="1399" w:type="dxa"/>
            <w:shd w:val="clear" w:color="auto" w:fill="auto"/>
            <w:vAlign w:val="center"/>
          </w:tcPr>
          <w:p>
            <w:pPr>
              <w:spacing w:line="240" w:lineRule="auto"/>
              <w:ind w:firstLine="0" w:firstLineChars="0"/>
              <w:jc w:val="center"/>
              <w:rPr>
                <w:sz w:val="21"/>
                <w:szCs w:val="21"/>
              </w:rPr>
            </w:pPr>
            <w:r>
              <w:rPr>
                <w:sz w:val="21"/>
                <w:szCs w:val="21"/>
              </w:rPr>
              <w:t>10</w:t>
            </w:r>
          </w:p>
        </w:tc>
        <w:tc>
          <w:tcPr>
            <w:tcW w:w="1183" w:type="dxa"/>
            <w:vAlign w:val="center"/>
          </w:tcPr>
          <w:p>
            <w:pPr>
              <w:spacing w:line="240" w:lineRule="auto"/>
              <w:ind w:firstLine="0" w:firstLineChars="0"/>
              <w:jc w:val="center"/>
              <w:rPr>
                <w:sz w:val="21"/>
                <w:szCs w:val="21"/>
              </w:rPr>
            </w:pPr>
            <w:r>
              <w:rPr>
                <w:sz w:val="21"/>
                <w:szCs w:val="21"/>
              </w:rPr>
              <w:t>10</w:t>
            </w:r>
          </w:p>
        </w:tc>
        <w:tc>
          <w:tcPr>
            <w:tcW w:w="820" w:type="dxa"/>
            <w:shd w:val="clear" w:color="auto" w:fill="auto"/>
            <w:vAlign w:val="center"/>
          </w:tcPr>
          <w:p>
            <w:pPr>
              <w:spacing w:line="240" w:lineRule="auto"/>
              <w:ind w:firstLine="0" w:firstLineChars="0"/>
              <w:jc w:val="center"/>
              <w:rPr>
                <w:sz w:val="21"/>
                <w:szCs w:val="21"/>
              </w:rPr>
            </w:pPr>
            <w:r>
              <w:rPr>
                <w:sz w:val="21"/>
                <w:szCs w:val="21"/>
              </w:rPr>
              <w:t>N50B</w:t>
            </w:r>
          </w:p>
        </w:tc>
        <w:tc>
          <w:tcPr>
            <w:tcW w:w="2833" w:type="dxa"/>
            <w:shd w:val="clear" w:color="auto" w:fill="auto"/>
            <w:vAlign w:val="center"/>
          </w:tcPr>
          <w:p>
            <w:pPr>
              <w:spacing w:line="240" w:lineRule="auto"/>
              <w:ind w:firstLine="0" w:firstLineChars="0"/>
              <w:jc w:val="center"/>
              <w:rPr>
                <w:sz w:val="21"/>
                <w:szCs w:val="21"/>
              </w:rPr>
            </w:pPr>
            <w:r>
              <w:rPr>
                <w:sz w:val="21"/>
                <w:szCs w:val="21"/>
              </w:rPr>
              <w:t>功率10KW</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727" w:type="dxa"/>
            <w:shd w:val="clear" w:color="auto" w:fill="auto"/>
            <w:vAlign w:val="center"/>
          </w:tcPr>
          <w:p>
            <w:pPr>
              <w:spacing w:line="240" w:lineRule="auto"/>
              <w:ind w:firstLine="0" w:firstLineChars="0"/>
              <w:jc w:val="center"/>
              <w:rPr>
                <w:sz w:val="21"/>
                <w:szCs w:val="21"/>
              </w:rPr>
            </w:pPr>
            <w:r>
              <w:rPr>
                <w:rFonts w:hint="eastAsia"/>
                <w:sz w:val="21"/>
                <w:szCs w:val="21"/>
              </w:rPr>
              <w:t>2</w:t>
            </w:r>
          </w:p>
        </w:tc>
        <w:tc>
          <w:tcPr>
            <w:tcW w:w="1825" w:type="dxa"/>
            <w:shd w:val="clear" w:color="auto" w:fill="auto"/>
            <w:vAlign w:val="center"/>
          </w:tcPr>
          <w:p>
            <w:pPr>
              <w:spacing w:line="240" w:lineRule="auto"/>
              <w:ind w:firstLine="0" w:firstLineChars="0"/>
              <w:jc w:val="center"/>
              <w:rPr>
                <w:sz w:val="21"/>
                <w:szCs w:val="21"/>
              </w:rPr>
            </w:pPr>
            <w:r>
              <w:rPr>
                <w:rFonts w:hint="eastAsia"/>
                <w:sz w:val="21"/>
                <w:szCs w:val="21"/>
              </w:rPr>
              <w:t>活性炭吸附装置</w:t>
            </w:r>
          </w:p>
        </w:tc>
        <w:tc>
          <w:tcPr>
            <w:tcW w:w="1399" w:type="dxa"/>
            <w:shd w:val="clear" w:color="auto" w:fill="auto"/>
            <w:vAlign w:val="center"/>
          </w:tcPr>
          <w:p>
            <w:pPr>
              <w:spacing w:line="240" w:lineRule="auto"/>
              <w:ind w:firstLine="0" w:firstLineChars="0"/>
              <w:jc w:val="center"/>
              <w:rPr>
                <w:sz w:val="21"/>
                <w:szCs w:val="21"/>
              </w:rPr>
            </w:pPr>
            <w:r>
              <w:rPr>
                <w:sz w:val="21"/>
                <w:szCs w:val="21"/>
              </w:rPr>
              <w:t>1</w:t>
            </w:r>
          </w:p>
        </w:tc>
        <w:tc>
          <w:tcPr>
            <w:tcW w:w="1183" w:type="dxa"/>
            <w:vAlign w:val="center"/>
          </w:tcPr>
          <w:p>
            <w:pPr>
              <w:spacing w:line="240" w:lineRule="auto"/>
              <w:ind w:firstLine="0" w:firstLineChars="0"/>
              <w:jc w:val="center"/>
              <w:rPr>
                <w:rFonts w:hint="eastAsia" w:eastAsia="宋体"/>
                <w:sz w:val="21"/>
                <w:szCs w:val="21"/>
                <w:lang w:eastAsia="zh-CN"/>
              </w:rPr>
            </w:pPr>
            <w:r>
              <w:rPr>
                <w:rFonts w:hint="eastAsia"/>
                <w:sz w:val="21"/>
                <w:szCs w:val="21"/>
                <w:lang w:val="en-US" w:eastAsia="zh-CN"/>
              </w:rPr>
              <w:t>2</w:t>
            </w:r>
          </w:p>
        </w:tc>
        <w:tc>
          <w:tcPr>
            <w:tcW w:w="820" w:type="dxa"/>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2833" w:type="dxa"/>
            <w:shd w:val="clear" w:color="auto" w:fill="auto"/>
            <w:vAlign w:val="center"/>
          </w:tcPr>
          <w:p>
            <w:pPr>
              <w:spacing w:line="240" w:lineRule="auto"/>
              <w:ind w:firstLine="0" w:firstLineChars="0"/>
              <w:jc w:val="center"/>
              <w:rPr>
                <w:sz w:val="21"/>
                <w:szCs w:val="21"/>
              </w:rPr>
            </w:pPr>
            <w:r>
              <w:rPr>
                <w:rFonts w:hint="eastAsia"/>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27" w:type="dxa"/>
            <w:vMerge w:val="restart"/>
            <w:shd w:val="clear" w:color="auto" w:fill="auto"/>
            <w:vAlign w:val="center"/>
          </w:tcPr>
          <w:p>
            <w:pPr>
              <w:spacing w:line="240" w:lineRule="auto"/>
              <w:ind w:firstLine="0" w:firstLineChars="0"/>
              <w:jc w:val="center"/>
              <w:rPr>
                <w:sz w:val="21"/>
                <w:szCs w:val="21"/>
              </w:rPr>
            </w:pPr>
            <w:r>
              <w:rPr>
                <w:rFonts w:hint="eastAsia"/>
                <w:sz w:val="21"/>
                <w:szCs w:val="21"/>
              </w:rPr>
              <w:t>3</w:t>
            </w:r>
          </w:p>
        </w:tc>
        <w:tc>
          <w:tcPr>
            <w:tcW w:w="1825" w:type="dxa"/>
            <w:vMerge w:val="restart"/>
            <w:shd w:val="clear" w:color="auto" w:fill="auto"/>
            <w:vAlign w:val="center"/>
          </w:tcPr>
          <w:p>
            <w:pPr>
              <w:spacing w:line="240" w:lineRule="auto"/>
              <w:ind w:firstLine="0" w:firstLineChars="0"/>
              <w:jc w:val="center"/>
              <w:rPr>
                <w:sz w:val="21"/>
                <w:szCs w:val="21"/>
              </w:rPr>
            </w:pPr>
            <w:r>
              <w:rPr>
                <w:rFonts w:hint="eastAsia"/>
                <w:sz w:val="21"/>
                <w:szCs w:val="21"/>
              </w:rPr>
              <w:t>配套风机</w:t>
            </w:r>
          </w:p>
        </w:tc>
        <w:tc>
          <w:tcPr>
            <w:tcW w:w="1399" w:type="dxa"/>
            <w:vMerge w:val="restart"/>
            <w:shd w:val="clear" w:color="auto" w:fill="auto"/>
            <w:vAlign w:val="center"/>
          </w:tcPr>
          <w:p>
            <w:pPr>
              <w:spacing w:line="240" w:lineRule="auto"/>
              <w:ind w:firstLine="0" w:firstLineChars="0"/>
              <w:jc w:val="center"/>
              <w:rPr>
                <w:sz w:val="21"/>
                <w:szCs w:val="21"/>
              </w:rPr>
            </w:pPr>
            <w:r>
              <w:rPr>
                <w:sz w:val="21"/>
                <w:szCs w:val="21"/>
              </w:rPr>
              <w:t>4</w:t>
            </w:r>
          </w:p>
        </w:tc>
        <w:tc>
          <w:tcPr>
            <w:tcW w:w="1183" w:type="dxa"/>
            <w:vAlign w:val="center"/>
          </w:tcPr>
          <w:p>
            <w:pPr>
              <w:spacing w:line="240" w:lineRule="auto"/>
              <w:ind w:firstLine="0" w:firstLineChars="0"/>
              <w:jc w:val="center"/>
              <w:rPr>
                <w:sz w:val="21"/>
                <w:szCs w:val="21"/>
              </w:rPr>
            </w:pPr>
            <w:r>
              <w:rPr>
                <w:rFonts w:hint="eastAsia"/>
                <w:sz w:val="21"/>
                <w:szCs w:val="21"/>
              </w:rPr>
              <w:t>2</w:t>
            </w:r>
          </w:p>
        </w:tc>
        <w:tc>
          <w:tcPr>
            <w:tcW w:w="820" w:type="dxa"/>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2833" w:type="dxa"/>
            <w:shd w:val="clear" w:color="auto" w:fill="auto"/>
            <w:vAlign w:val="center"/>
          </w:tcPr>
          <w:p>
            <w:pPr>
              <w:spacing w:line="240" w:lineRule="auto"/>
              <w:ind w:firstLine="0" w:firstLineChars="0"/>
              <w:jc w:val="center"/>
            </w:pPr>
            <w:r>
              <w:rPr>
                <w:rFonts w:hint="eastAsia"/>
              </w:rPr>
              <w:t>风机风量3000m</w:t>
            </w:r>
            <w:r>
              <w:rPr>
                <w:rFonts w:hint="eastAsia"/>
                <w:vertAlign w:val="superscript"/>
              </w:rPr>
              <w:t>3</w:t>
            </w:r>
            <w:r>
              <w:rPr>
                <w:rFonts w:hint="eastAsia"/>
              </w:rPr>
              <w:t>/h</w:t>
            </w:r>
            <w:r>
              <w:rPr>
                <w:rFonts w:hint="eastAsia"/>
                <w:sz w:val="21"/>
                <w:szCs w:val="21"/>
              </w:rPr>
              <w:t>（用于危废间及油墨库各1个）</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727" w:type="dxa"/>
            <w:vMerge w:val="continue"/>
            <w:shd w:val="clear" w:color="auto" w:fill="auto"/>
            <w:vAlign w:val="center"/>
          </w:tcPr>
          <w:p>
            <w:pPr>
              <w:spacing w:line="240" w:lineRule="auto"/>
              <w:ind w:firstLine="0" w:firstLineChars="0"/>
              <w:jc w:val="center"/>
            </w:pPr>
          </w:p>
        </w:tc>
        <w:tc>
          <w:tcPr>
            <w:tcW w:w="1825" w:type="dxa"/>
            <w:vMerge w:val="continue"/>
            <w:shd w:val="clear" w:color="auto" w:fill="auto"/>
            <w:vAlign w:val="center"/>
          </w:tcPr>
          <w:p>
            <w:pPr>
              <w:spacing w:line="240" w:lineRule="auto"/>
              <w:ind w:firstLine="0" w:firstLineChars="0"/>
              <w:jc w:val="center"/>
            </w:pPr>
          </w:p>
        </w:tc>
        <w:tc>
          <w:tcPr>
            <w:tcW w:w="1399" w:type="dxa"/>
            <w:vMerge w:val="continue"/>
            <w:shd w:val="clear" w:color="auto" w:fill="auto"/>
            <w:vAlign w:val="center"/>
          </w:tcPr>
          <w:p>
            <w:pPr>
              <w:spacing w:line="240" w:lineRule="auto"/>
              <w:ind w:firstLine="0" w:firstLineChars="0"/>
              <w:jc w:val="center"/>
            </w:pPr>
          </w:p>
        </w:tc>
        <w:tc>
          <w:tcPr>
            <w:tcW w:w="1183" w:type="dxa"/>
            <w:vAlign w:val="center"/>
          </w:tcPr>
          <w:p>
            <w:pPr>
              <w:spacing w:line="240" w:lineRule="auto"/>
              <w:ind w:firstLine="0" w:firstLineChars="0"/>
              <w:jc w:val="center"/>
            </w:pPr>
            <w:r>
              <w:rPr>
                <w:rFonts w:hint="eastAsia"/>
              </w:rPr>
              <w:t>2</w:t>
            </w:r>
          </w:p>
        </w:tc>
        <w:tc>
          <w:tcPr>
            <w:tcW w:w="820" w:type="dxa"/>
            <w:shd w:val="clear" w:color="auto" w:fill="auto"/>
            <w:vAlign w:val="center"/>
          </w:tcPr>
          <w:p>
            <w:pPr>
              <w:spacing w:line="240" w:lineRule="auto"/>
              <w:ind w:firstLine="0" w:firstLineChars="0"/>
              <w:jc w:val="center"/>
              <w:rPr>
                <w:sz w:val="21"/>
                <w:szCs w:val="21"/>
              </w:rPr>
            </w:pPr>
            <w:r>
              <w:rPr>
                <w:rFonts w:hint="eastAsia"/>
                <w:sz w:val="21"/>
                <w:szCs w:val="21"/>
              </w:rPr>
              <w:t>/</w:t>
            </w:r>
          </w:p>
        </w:tc>
        <w:tc>
          <w:tcPr>
            <w:tcW w:w="2833" w:type="dxa"/>
            <w:shd w:val="clear" w:color="auto" w:fill="auto"/>
            <w:vAlign w:val="center"/>
          </w:tcPr>
          <w:p>
            <w:pPr>
              <w:spacing w:line="240" w:lineRule="auto"/>
              <w:ind w:firstLine="0" w:firstLineChars="0"/>
              <w:jc w:val="center"/>
              <w:rPr>
                <w:sz w:val="21"/>
                <w:szCs w:val="21"/>
              </w:rPr>
            </w:pPr>
            <w:r>
              <w:rPr>
                <w:rFonts w:hint="eastAsia"/>
                <w:sz w:val="21"/>
                <w:szCs w:val="21"/>
              </w:rPr>
              <w:t>风机风量9000m</w:t>
            </w:r>
            <w:r>
              <w:rPr>
                <w:rFonts w:hint="eastAsia"/>
                <w:sz w:val="21"/>
                <w:szCs w:val="21"/>
                <w:vertAlign w:val="superscript"/>
              </w:rPr>
              <w:t>3</w:t>
            </w:r>
            <w:r>
              <w:rPr>
                <w:rFonts w:hint="eastAsia"/>
                <w:sz w:val="21"/>
                <w:szCs w:val="21"/>
              </w:rPr>
              <w:t>/h（用于彩喷生产线）</w:t>
            </w:r>
          </w:p>
        </w:tc>
      </w:tr>
    </w:tbl>
    <w:p>
      <w:pPr>
        <w:pStyle w:val="56"/>
        <w:jc w:val="both"/>
      </w:pPr>
    </w:p>
    <w:p>
      <w:pPr>
        <w:pStyle w:val="8"/>
        <w:keepNext w:val="0"/>
        <w:keepLines w:val="0"/>
        <w:spacing w:before="240" w:beforeLines="100"/>
        <w:rPr>
          <w:color w:val="auto"/>
        </w:rPr>
      </w:pPr>
      <w:bookmarkStart w:id="97" w:name="_Toc30286"/>
      <w:r>
        <w:rPr>
          <w:color w:val="auto"/>
        </w:rPr>
        <w:t>3.4  主要原辅材料</w:t>
      </w:r>
      <w:bookmarkEnd w:id="84"/>
      <w:bookmarkEnd w:id="85"/>
      <w:bookmarkEnd w:id="92"/>
      <w:bookmarkEnd w:id="93"/>
      <w:bookmarkEnd w:id="94"/>
      <w:bookmarkEnd w:id="95"/>
      <w:bookmarkEnd w:id="96"/>
      <w:bookmarkEnd w:id="97"/>
    </w:p>
    <w:p>
      <w:pPr>
        <w:pStyle w:val="9"/>
      </w:pPr>
      <w:bookmarkStart w:id="98" w:name="_Toc7202"/>
      <w:bookmarkStart w:id="99" w:name="_Toc7305"/>
      <w:bookmarkStart w:id="100" w:name="_Toc27712"/>
      <w:bookmarkStart w:id="101" w:name="_Toc11511"/>
      <w:bookmarkStart w:id="102" w:name="_Toc47431939"/>
      <w:bookmarkStart w:id="103" w:name="_Toc15155"/>
      <w:r>
        <w:t>3.4.1  主要</w:t>
      </w:r>
      <w:r>
        <w:rPr>
          <w:rFonts w:hint="eastAsia"/>
        </w:rPr>
        <w:t>原辅</w:t>
      </w:r>
      <w:r>
        <w:t>材料</w:t>
      </w:r>
      <w:bookmarkEnd w:id="98"/>
      <w:bookmarkEnd w:id="99"/>
    </w:p>
    <w:p>
      <w:pPr>
        <w:ind w:firstLine="480"/>
        <w:rPr>
          <w:b/>
          <w:bCs/>
        </w:rPr>
      </w:pPr>
      <w:bookmarkStart w:id="104" w:name="_Toc18450"/>
      <w:r>
        <w:rPr>
          <w:kern w:val="0"/>
          <w:lang w:bidi="ar"/>
        </w:rPr>
        <w:t>主要原料及年消耗量：项目的主要原材料见</w:t>
      </w:r>
      <w:r>
        <w:rPr>
          <w:rFonts w:hint="eastAsia"/>
          <w:kern w:val="0"/>
          <w:lang w:bidi="ar"/>
        </w:rPr>
        <w:t>表3</w:t>
      </w:r>
      <w:r>
        <w:rPr>
          <w:kern w:val="0"/>
          <w:lang w:bidi="ar"/>
        </w:rPr>
        <w:t>.4-1</w:t>
      </w:r>
      <w:r>
        <w:rPr>
          <w:rFonts w:hint="eastAsia"/>
          <w:kern w:val="0"/>
          <w:lang w:bidi="ar"/>
        </w:rPr>
        <w:t>。</w:t>
      </w:r>
    </w:p>
    <w:p>
      <w:pPr>
        <w:ind w:firstLine="480"/>
        <w:rPr>
          <w:kern w:val="0"/>
          <w:lang w:bidi="ar"/>
        </w:rPr>
      </w:pPr>
      <w:r>
        <w:rPr>
          <w:rFonts w:hint="eastAsia"/>
          <w:kern w:val="0"/>
          <w:lang w:bidi="ar"/>
        </w:rPr>
        <w:t>本项目铜合金硬币来自于《铜币坯饼生产车间技术改造项目环境影响报告书》中的产品。项目油墨为密封桶装，入厂后不需使用稀释剂进行调配，无物料输送工序。助剂主要成分为</w:t>
      </w:r>
      <w:r>
        <w:rPr>
          <w:kern w:val="0"/>
          <w:lang w:bidi="ar"/>
        </w:rPr>
        <w:t>4-</w:t>
      </w:r>
      <w:r>
        <w:rPr>
          <w:rFonts w:hint="eastAsia"/>
          <w:kern w:val="0"/>
          <w:lang w:bidi="ar"/>
        </w:rPr>
        <w:t xml:space="preserve">丙烯酰吗啉。 </w:t>
      </w:r>
    </w:p>
    <w:p>
      <w:pPr>
        <w:pStyle w:val="58"/>
      </w:pPr>
      <w:r>
        <w:t>表</w:t>
      </w:r>
      <w:r>
        <w:rPr>
          <w:rFonts w:hint="eastAsia"/>
        </w:rPr>
        <w:t>3</w:t>
      </w:r>
      <w:r>
        <w:t>.4-1                            项目主要原材料</w:t>
      </w:r>
    </w:p>
    <w:tbl>
      <w:tblPr>
        <w:tblStyle w:val="46"/>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2759"/>
        <w:gridCol w:w="1852"/>
        <w:gridCol w:w="2215"/>
        <w:gridCol w:w="145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shd w:val="clear" w:color="auto" w:fill="auto"/>
            <w:vAlign w:val="center"/>
          </w:tcPr>
          <w:p>
            <w:pPr>
              <w:pStyle w:val="56"/>
            </w:pPr>
            <w:r>
              <w:t>序号</w:t>
            </w:r>
          </w:p>
        </w:tc>
        <w:tc>
          <w:tcPr>
            <w:tcW w:w="1532" w:type="pct"/>
            <w:shd w:val="clear" w:color="auto" w:fill="auto"/>
            <w:vAlign w:val="center"/>
          </w:tcPr>
          <w:p>
            <w:pPr>
              <w:pStyle w:val="56"/>
            </w:pPr>
            <w:r>
              <w:t>原材料名称</w:t>
            </w:r>
          </w:p>
        </w:tc>
        <w:tc>
          <w:tcPr>
            <w:tcW w:w="1028" w:type="pct"/>
            <w:shd w:val="clear" w:color="auto" w:fill="auto"/>
            <w:vAlign w:val="center"/>
          </w:tcPr>
          <w:p>
            <w:pPr>
              <w:pStyle w:val="56"/>
            </w:pPr>
            <w:r>
              <w:rPr>
                <w:rFonts w:hint="eastAsia"/>
              </w:rPr>
              <w:t>环评设计消耗量</w:t>
            </w:r>
          </w:p>
        </w:tc>
        <w:tc>
          <w:tcPr>
            <w:tcW w:w="1230" w:type="pct"/>
            <w:vAlign w:val="center"/>
          </w:tcPr>
          <w:p>
            <w:pPr>
              <w:pStyle w:val="56"/>
            </w:pPr>
            <w:r>
              <w:rPr>
                <w:rFonts w:hint="eastAsia"/>
              </w:rPr>
              <w:t>验收调试期消耗量</w:t>
            </w:r>
          </w:p>
        </w:tc>
        <w:tc>
          <w:tcPr>
            <w:tcW w:w="806" w:type="pct"/>
            <w:shd w:val="clear" w:color="auto" w:fill="auto"/>
            <w:vAlign w:val="center"/>
          </w:tcPr>
          <w:p>
            <w:pPr>
              <w:pStyle w:val="56"/>
            </w:pPr>
            <w:r>
              <w:rPr>
                <w:rFonts w:hint="eastAsia"/>
              </w:rPr>
              <w:t>存储位置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shd w:val="clear" w:color="auto" w:fill="auto"/>
            <w:vAlign w:val="center"/>
          </w:tcPr>
          <w:p>
            <w:pPr>
              <w:pStyle w:val="56"/>
            </w:pPr>
            <w:r>
              <w:t>1</w:t>
            </w:r>
          </w:p>
        </w:tc>
        <w:tc>
          <w:tcPr>
            <w:tcW w:w="1532" w:type="pct"/>
            <w:shd w:val="clear" w:color="auto" w:fill="auto"/>
            <w:vAlign w:val="center"/>
          </w:tcPr>
          <w:p>
            <w:pPr>
              <w:pStyle w:val="56"/>
            </w:pPr>
            <w:r>
              <w:t>铜合金</w:t>
            </w:r>
            <w:r>
              <w:rPr>
                <w:rFonts w:hint="eastAsia"/>
              </w:rPr>
              <w:t>硬币</w:t>
            </w:r>
          </w:p>
        </w:tc>
        <w:tc>
          <w:tcPr>
            <w:tcW w:w="1028" w:type="pct"/>
            <w:shd w:val="clear" w:color="auto" w:fill="auto"/>
            <w:vAlign w:val="center"/>
          </w:tcPr>
          <w:p>
            <w:pPr>
              <w:pStyle w:val="56"/>
            </w:pPr>
            <w:r>
              <w:t>40</w:t>
            </w:r>
            <w:r>
              <w:rPr>
                <w:rFonts w:hint="eastAsia"/>
              </w:rPr>
              <w:t>万</w:t>
            </w:r>
            <w:r>
              <w:t>枚/</w:t>
            </w:r>
            <w:r>
              <w:rPr>
                <w:rFonts w:hint="eastAsia"/>
              </w:rPr>
              <w:t>d</w:t>
            </w:r>
          </w:p>
        </w:tc>
        <w:tc>
          <w:tcPr>
            <w:tcW w:w="1230" w:type="pct"/>
            <w:vAlign w:val="center"/>
          </w:tcPr>
          <w:p>
            <w:pPr>
              <w:pStyle w:val="56"/>
            </w:pPr>
            <w:r>
              <w:rPr>
                <w:rFonts w:hint="eastAsia"/>
              </w:rPr>
              <w:t>3</w:t>
            </w:r>
            <w:r>
              <w:t>6</w:t>
            </w:r>
            <w:r>
              <w:rPr>
                <w:rFonts w:hint="eastAsia"/>
              </w:rPr>
              <w:t>万</w:t>
            </w:r>
            <w:r>
              <w:t>枚/</w:t>
            </w:r>
            <w:r>
              <w:rPr>
                <w:rFonts w:hint="eastAsia"/>
              </w:rPr>
              <w:t>d</w:t>
            </w:r>
          </w:p>
        </w:tc>
        <w:tc>
          <w:tcPr>
            <w:tcW w:w="806" w:type="pct"/>
            <w:shd w:val="clear" w:color="auto" w:fill="auto"/>
            <w:vAlign w:val="center"/>
          </w:tcPr>
          <w:p>
            <w:pPr>
              <w:pStyle w:val="56"/>
            </w:pPr>
            <w:r>
              <w:rPr>
                <w:rFonts w:hint="eastAsia"/>
              </w:rPr>
              <w:t>原料仓库</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shd w:val="clear" w:color="auto" w:fill="auto"/>
            <w:vAlign w:val="center"/>
          </w:tcPr>
          <w:p>
            <w:pPr>
              <w:pStyle w:val="56"/>
            </w:pPr>
            <w:r>
              <w:t>2</w:t>
            </w:r>
          </w:p>
        </w:tc>
        <w:tc>
          <w:tcPr>
            <w:tcW w:w="1532" w:type="pct"/>
            <w:shd w:val="clear" w:color="auto" w:fill="auto"/>
            <w:vAlign w:val="center"/>
          </w:tcPr>
          <w:p>
            <w:pPr>
              <w:pStyle w:val="56"/>
            </w:pPr>
            <w:r>
              <w:t>彩喷油墨（透明）</w:t>
            </w:r>
          </w:p>
        </w:tc>
        <w:tc>
          <w:tcPr>
            <w:tcW w:w="1028" w:type="pct"/>
            <w:shd w:val="clear" w:color="auto" w:fill="auto"/>
            <w:vAlign w:val="center"/>
          </w:tcPr>
          <w:p>
            <w:pPr>
              <w:pStyle w:val="56"/>
            </w:pPr>
            <w:r>
              <w:t>13.76</w:t>
            </w:r>
            <w:r>
              <w:rPr>
                <w:rFonts w:hint="eastAsia"/>
              </w:rPr>
              <w:t>kg</w:t>
            </w:r>
            <w:r>
              <w:t>/</w:t>
            </w:r>
            <w:r>
              <w:rPr>
                <w:rFonts w:hint="eastAsia"/>
              </w:rPr>
              <w:t>d</w:t>
            </w:r>
          </w:p>
        </w:tc>
        <w:tc>
          <w:tcPr>
            <w:tcW w:w="1230" w:type="pct"/>
            <w:vAlign w:val="center"/>
          </w:tcPr>
          <w:p>
            <w:pPr>
              <w:pStyle w:val="56"/>
            </w:pPr>
            <w:r>
              <w:t>12.384</w:t>
            </w:r>
            <w:r>
              <w:rPr>
                <w:rFonts w:hint="eastAsia"/>
              </w:rPr>
              <w:t>kg</w:t>
            </w:r>
            <w:r>
              <w:t>/</w:t>
            </w:r>
            <w:r>
              <w:rPr>
                <w:rFonts w:hint="eastAsia"/>
              </w:rPr>
              <w:t>d</w:t>
            </w:r>
          </w:p>
        </w:tc>
        <w:tc>
          <w:tcPr>
            <w:tcW w:w="806" w:type="pct"/>
            <w:shd w:val="clear" w:color="auto" w:fill="auto"/>
            <w:vAlign w:val="center"/>
          </w:tcPr>
          <w:p>
            <w:pPr>
              <w:pStyle w:val="56"/>
            </w:pPr>
            <w:r>
              <w:rPr>
                <w:rFonts w:hint="eastAsia"/>
              </w:rPr>
              <w:t>原料仓库</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shd w:val="clear" w:color="auto" w:fill="auto"/>
            <w:vAlign w:val="center"/>
          </w:tcPr>
          <w:p>
            <w:pPr>
              <w:pStyle w:val="56"/>
            </w:pPr>
            <w:r>
              <w:t>3</w:t>
            </w:r>
          </w:p>
        </w:tc>
        <w:tc>
          <w:tcPr>
            <w:tcW w:w="1532" w:type="pct"/>
            <w:shd w:val="clear" w:color="auto" w:fill="auto"/>
            <w:vAlign w:val="center"/>
          </w:tcPr>
          <w:p>
            <w:pPr>
              <w:pStyle w:val="56"/>
            </w:pPr>
            <w:r>
              <w:t>彩喷油墨（白色）</w:t>
            </w:r>
          </w:p>
        </w:tc>
        <w:tc>
          <w:tcPr>
            <w:tcW w:w="1028" w:type="pct"/>
            <w:shd w:val="clear" w:color="auto" w:fill="auto"/>
            <w:vAlign w:val="center"/>
          </w:tcPr>
          <w:p>
            <w:pPr>
              <w:pStyle w:val="56"/>
            </w:pPr>
            <w:r>
              <w:t>12.04</w:t>
            </w:r>
            <w:r>
              <w:rPr>
                <w:rFonts w:hint="eastAsia"/>
              </w:rPr>
              <w:t>kg</w:t>
            </w:r>
            <w:r>
              <w:t>/</w:t>
            </w:r>
            <w:r>
              <w:rPr>
                <w:rFonts w:hint="eastAsia"/>
              </w:rPr>
              <w:t>d</w:t>
            </w:r>
          </w:p>
        </w:tc>
        <w:tc>
          <w:tcPr>
            <w:tcW w:w="1230" w:type="pct"/>
            <w:vAlign w:val="center"/>
          </w:tcPr>
          <w:p>
            <w:pPr>
              <w:pStyle w:val="56"/>
            </w:pPr>
            <w:r>
              <w:t>10.836</w:t>
            </w:r>
            <w:r>
              <w:rPr>
                <w:rFonts w:hint="eastAsia"/>
              </w:rPr>
              <w:t>kg</w:t>
            </w:r>
            <w:r>
              <w:t>/</w:t>
            </w:r>
            <w:r>
              <w:rPr>
                <w:rFonts w:hint="eastAsia"/>
              </w:rPr>
              <w:t>d</w:t>
            </w:r>
          </w:p>
        </w:tc>
        <w:tc>
          <w:tcPr>
            <w:tcW w:w="806" w:type="pct"/>
            <w:shd w:val="clear" w:color="auto" w:fill="auto"/>
            <w:vAlign w:val="center"/>
          </w:tcPr>
          <w:p>
            <w:pPr>
              <w:pStyle w:val="56"/>
            </w:pPr>
            <w:r>
              <w:rPr>
                <w:rFonts w:hint="eastAsia"/>
              </w:rPr>
              <w:t>原料仓库</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shd w:val="clear" w:color="auto" w:fill="auto"/>
            <w:vAlign w:val="center"/>
          </w:tcPr>
          <w:p>
            <w:pPr>
              <w:pStyle w:val="56"/>
            </w:pPr>
            <w:r>
              <w:t>4</w:t>
            </w:r>
          </w:p>
        </w:tc>
        <w:tc>
          <w:tcPr>
            <w:tcW w:w="1532" w:type="pct"/>
            <w:shd w:val="clear" w:color="auto" w:fill="auto"/>
            <w:vAlign w:val="center"/>
          </w:tcPr>
          <w:p>
            <w:pPr>
              <w:pStyle w:val="56"/>
            </w:pPr>
            <w:r>
              <w:t>彩喷油墨（彩色</w:t>
            </w:r>
            <w:r>
              <w:rPr>
                <w:rFonts w:hint="eastAsia"/>
              </w:rPr>
              <w:t>：蓝、黄、红、黑</w:t>
            </w:r>
            <w:r>
              <w:t>）</w:t>
            </w:r>
          </w:p>
        </w:tc>
        <w:tc>
          <w:tcPr>
            <w:tcW w:w="1028" w:type="pct"/>
            <w:shd w:val="clear" w:color="auto" w:fill="auto"/>
            <w:vAlign w:val="center"/>
          </w:tcPr>
          <w:p>
            <w:pPr>
              <w:pStyle w:val="56"/>
            </w:pPr>
            <w:r>
              <w:t>8.6</w:t>
            </w:r>
            <w:r>
              <w:rPr>
                <w:rFonts w:hint="eastAsia"/>
              </w:rPr>
              <w:t>kg</w:t>
            </w:r>
            <w:r>
              <w:t>/</w:t>
            </w:r>
            <w:r>
              <w:rPr>
                <w:rFonts w:hint="eastAsia"/>
              </w:rPr>
              <w:t>d</w:t>
            </w:r>
          </w:p>
        </w:tc>
        <w:tc>
          <w:tcPr>
            <w:tcW w:w="1230" w:type="pct"/>
            <w:vAlign w:val="center"/>
          </w:tcPr>
          <w:p>
            <w:pPr>
              <w:pStyle w:val="56"/>
            </w:pPr>
            <w:r>
              <w:t>7.74</w:t>
            </w:r>
            <w:r>
              <w:rPr>
                <w:rFonts w:hint="eastAsia"/>
              </w:rPr>
              <w:t>kg</w:t>
            </w:r>
            <w:r>
              <w:t>/</w:t>
            </w:r>
            <w:r>
              <w:rPr>
                <w:rFonts w:hint="eastAsia"/>
              </w:rPr>
              <w:t>d</w:t>
            </w:r>
          </w:p>
        </w:tc>
        <w:tc>
          <w:tcPr>
            <w:tcW w:w="806" w:type="pct"/>
            <w:shd w:val="clear" w:color="auto" w:fill="auto"/>
            <w:vAlign w:val="center"/>
          </w:tcPr>
          <w:p>
            <w:pPr>
              <w:pStyle w:val="56"/>
            </w:pPr>
            <w:r>
              <w:rPr>
                <w:rFonts w:hint="eastAsia"/>
              </w:rPr>
              <w:t>原料仓库</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shd w:val="clear" w:color="auto" w:fill="auto"/>
            <w:vAlign w:val="center"/>
          </w:tcPr>
          <w:p>
            <w:pPr>
              <w:pStyle w:val="56"/>
            </w:pPr>
            <w:r>
              <w:t>5</w:t>
            </w:r>
          </w:p>
        </w:tc>
        <w:tc>
          <w:tcPr>
            <w:tcW w:w="1532" w:type="pct"/>
            <w:shd w:val="clear" w:color="auto" w:fill="auto"/>
            <w:vAlign w:val="center"/>
          </w:tcPr>
          <w:p>
            <w:pPr>
              <w:pStyle w:val="56"/>
            </w:pPr>
            <w:r>
              <w:t>喷头清洗剂</w:t>
            </w:r>
          </w:p>
        </w:tc>
        <w:tc>
          <w:tcPr>
            <w:tcW w:w="1028" w:type="pct"/>
            <w:shd w:val="clear" w:color="auto" w:fill="auto"/>
            <w:vAlign w:val="center"/>
          </w:tcPr>
          <w:p>
            <w:pPr>
              <w:pStyle w:val="56"/>
            </w:pPr>
            <w:r>
              <w:t>0.32</w:t>
            </w:r>
            <w:r>
              <w:rPr>
                <w:rFonts w:hint="eastAsia"/>
              </w:rPr>
              <w:t>kg</w:t>
            </w:r>
            <w:r>
              <w:t>/</w:t>
            </w:r>
            <w:r>
              <w:rPr>
                <w:rFonts w:hint="eastAsia"/>
              </w:rPr>
              <w:t>d</w:t>
            </w:r>
          </w:p>
        </w:tc>
        <w:tc>
          <w:tcPr>
            <w:tcW w:w="1230" w:type="pct"/>
            <w:vAlign w:val="center"/>
          </w:tcPr>
          <w:p>
            <w:pPr>
              <w:pStyle w:val="56"/>
            </w:pPr>
            <w:r>
              <w:t>0.288</w:t>
            </w:r>
            <w:r>
              <w:rPr>
                <w:rFonts w:hint="eastAsia"/>
              </w:rPr>
              <w:t>kg</w:t>
            </w:r>
            <w:r>
              <w:t>/</w:t>
            </w:r>
            <w:r>
              <w:rPr>
                <w:rFonts w:hint="eastAsia"/>
              </w:rPr>
              <w:t>d</w:t>
            </w:r>
          </w:p>
        </w:tc>
        <w:tc>
          <w:tcPr>
            <w:tcW w:w="806" w:type="pct"/>
            <w:shd w:val="clear" w:color="auto" w:fill="auto"/>
            <w:vAlign w:val="center"/>
          </w:tcPr>
          <w:p>
            <w:pPr>
              <w:pStyle w:val="56"/>
            </w:pPr>
            <w:r>
              <w:rPr>
                <w:rFonts w:hint="eastAsia"/>
              </w:rPr>
              <w:t>原料仓库</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3" w:type="pct"/>
            <w:shd w:val="clear" w:color="auto" w:fill="auto"/>
            <w:vAlign w:val="center"/>
          </w:tcPr>
          <w:p>
            <w:pPr>
              <w:pStyle w:val="56"/>
            </w:pPr>
            <w:r>
              <w:rPr>
                <w:rFonts w:hint="eastAsia"/>
              </w:rPr>
              <w:t>6</w:t>
            </w:r>
          </w:p>
        </w:tc>
        <w:tc>
          <w:tcPr>
            <w:tcW w:w="1532" w:type="pct"/>
            <w:shd w:val="clear" w:color="auto" w:fill="auto"/>
            <w:vAlign w:val="center"/>
          </w:tcPr>
          <w:p>
            <w:pPr>
              <w:pStyle w:val="56"/>
            </w:pPr>
            <w:r>
              <w:rPr>
                <w:rFonts w:hint="eastAsia"/>
              </w:rPr>
              <w:t>活性炭</w:t>
            </w:r>
          </w:p>
        </w:tc>
        <w:tc>
          <w:tcPr>
            <w:tcW w:w="1028" w:type="pct"/>
            <w:shd w:val="clear" w:color="auto" w:fill="auto"/>
            <w:vAlign w:val="center"/>
          </w:tcPr>
          <w:p>
            <w:pPr>
              <w:pStyle w:val="56"/>
            </w:pPr>
            <w:r>
              <w:t>2.356</w:t>
            </w:r>
            <w:r>
              <w:rPr>
                <w:rFonts w:hint="eastAsia"/>
              </w:rPr>
              <w:t>t</w:t>
            </w:r>
            <w:r>
              <w:t>/a</w:t>
            </w:r>
          </w:p>
        </w:tc>
        <w:tc>
          <w:tcPr>
            <w:tcW w:w="1230" w:type="pct"/>
            <w:vAlign w:val="center"/>
          </w:tcPr>
          <w:p>
            <w:pPr>
              <w:pStyle w:val="56"/>
            </w:pPr>
            <w:r>
              <w:rPr>
                <w:rFonts w:hint="eastAsia"/>
              </w:rPr>
              <w:t>每套设备活性炭2m</w:t>
            </w:r>
            <w:r>
              <w:rPr>
                <w:rFonts w:hint="eastAsia"/>
                <w:vertAlign w:val="superscript"/>
              </w:rPr>
              <w:t>2</w:t>
            </w:r>
          </w:p>
        </w:tc>
        <w:tc>
          <w:tcPr>
            <w:tcW w:w="806" w:type="pct"/>
            <w:shd w:val="clear" w:color="auto" w:fill="auto"/>
            <w:vAlign w:val="center"/>
          </w:tcPr>
          <w:p>
            <w:pPr>
              <w:pStyle w:val="56"/>
            </w:pPr>
            <w:r>
              <w:rPr>
                <w:rFonts w:hint="eastAsia"/>
              </w:rPr>
              <w:t>厂家更换</w:t>
            </w:r>
          </w:p>
        </w:tc>
      </w:tr>
    </w:tbl>
    <w:p>
      <w:pPr>
        <w:pStyle w:val="3"/>
        <w:ind w:firstLine="170"/>
      </w:pPr>
      <w:r>
        <w:rPr>
          <w:rFonts w:hint="eastAsia"/>
        </w:rPr>
        <w:t xml:space="preserve"> </w:t>
      </w:r>
    </w:p>
    <w:p>
      <w:pPr>
        <w:pStyle w:val="9"/>
        <w:spacing w:before="240" w:beforeLines="100"/>
      </w:pPr>
      <w:bookmarkStart w:id="105" w:name="_Toc21638"/>
      <w:r>
        <w:t>3.4.2  能源消耗</w:t>
      </w:r>
      <w:bookmarkEnd w:id="104"/>
      <w:bookmarkEnd w:id="105"/>
    </w:p>
    <w:p>
      <w:pPr>
        <w:ind w:firstLine="480"/>
      </w:pPr>
      <w:r>
        <w:t>项目能源消耗情况见表3.4-2。</w:t>
      </w:r>
    </w:p>
    <w:p>
      <w:pPr>
        <w:pStyle w:val="58"/>
      </w:pPr>
      <w:r>
        <w:t>表3.4-2                                  能源消耗表</w:t>
      </w:r>
    </w:p>
    <w:tbl>
      <w:tblPr>
        <w:tblStyle w:val="46"/>
        <w:tblW w:w="4997"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652"/>
        <w:gridCol w:w="1740"/>
        <w:gridCol w:w="2199"/>
        <w:gridCol w:w="219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Align w:val="center"/>
          </w:tcPr>
          <w:p>
            <w:pPr>
              <w:adjustRightInd w:val="0"/>
              <w:snapToGrid w:val="0"/>
              <w:spacing w:line="240" w:lineRule="auto"/>
              <w:ind w:firstLine="0" w:firstLineChars="0"/>
              <w:jc w:val="center"/>
              <w:rPr>
                <w:sz w:val="21"/>
                <w:szCs w:val="21"/>
              </w:rPr>
            </w:pPr>
            <w:r>
              <w:rPr>
                <w:sz w:val="21"/>
                <w:szCs w:val="21"/>
              </w:rPr>
              <w:t>序号</w:t>
            </w:r>
          </w:p>
        </w:tc>
        <w:tc>
          <w:tcPr>
            <w:tcW w:w="918" w:type="pct"/>
            <w:vAlign w:val="center"/>
          </w:tcPr>
          <w:p>
            <w:pPr>
              <w:adjustRightInd w:val="0"/>
              <w:snapToGrid w:val="0"/>
              <w:spacing w:line="240" w:lineRule="auto"/>
              <w:ind w:firstLine="0" w:firstLineChars="0"/>
              <w:jc w:val="center"/>
              <w:rPr>
                <w:sz w:val="21"/>
                <w:szCs w:val="21"/>
              </w:rPr>
            </w:pPr>
            <w:r>
              <w:rPr>
                <w:sz w:val="21"/>
                <w:szCs w:val="21"/>
              </w:rPr>
              <w:t>名称</w:t>
            </w:r>
          </w:p>
        </w:tc>
        <w:tc>
          <w:tcPr>
            <w:tcW w:w="967" w:type="pct"/>
            <w:vAlign w:val="center"/>
          </w:tcPr>
          <w:p>
            <w:pPr>
              <w:adjustRightInd w:val="0"/>
              <w:snapToGrid w:val="0"/>
              <w:spacing w:line="240" w:lineRule="auto"/>
              <w:ind w:firstLine="0" w:firstLineChars="0"/>
              <w:jc w:val="center"/>
              <w:rPr>
                <w:sz w:val="21"/>
                <w:szCs w:val="21"/>
              </w:rPr>
            </w:pPr>
            <w:r>
              <w:rPr>
                <w:sz w:val="21"/>
                <w:szCs w:val="21"/>
              </w:rPr>
              <w:t>单位</w:t>
            </w:r>
          </w:p>
        </w:tc>
        <w:tc>
          <w:tcPr>
            <w:tcW w:w="1222" w:type="pct"/>
            <w:vAlign w:val="center"/>
          </w:tcPr>
          <w:p>
            <w:pPr>
              <w:adjustRightInd w:val="0"/>
              <w:snapToGrid w:val="0"/>
              <w:spacing w:line="240" w:lineRule="auto"/>
              <w:ind w:firstLine="0" w:firstLineChars="0"/>
              <w:jc w:val="center"/>
              <w:rPr>
                <w:sz w:val="21"/>
                <w:szCs w:val="21"/>
              </w:rPr>
            </w:pPr>
            <w:r>
              <w:rPr>
                <w:sz w:val="21"/>
                <w:szCs w:val="21"/>
              </w:rPr>
              <w:t>环评预计消耗量</w:t>
            </w:r>
          </w:p>
        </w:tc>
        <w:tc>
          <w:tcPr>
            <w:tcW w:w="1222" w:type="pct"/>
            <w:vAlign w:val="center"/>
          </w:tcPr>
          <w:p>
            <w:pPr>
              <w:adjustRightInd w:val="0"/>
              <w:snapToGrid w:val="0"/>
              <w:spacing w:line="240" w:lineRule="auto"/>
              <w:ind w:firstLine="0" w:firstLineChars="0"/>
              <w:jc w:val="center"/>
              <w:rPr>
                <w:sz w:val="21"/>
                <w:szCs w:val="21"/>
              </w:rPr>
            </w:pPr>
            <w:r>
              <w:rPr>
                <w:rFonts w:hint="eastAsia"/>
                <w:sz w:val="21"/>
                <w:szCs w:val="21"/>
              </w:rPr>
              <w:t>折算</w:t>
            </w:r>
            <w:r>
              <w:rPr>
                <w:sz w:val="21"/>
                <w:szCs w:val="21"/>
              </w:rPr>
              <w:t>实际消耗量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pct"/>
            <w:vAlign w:val="center"/>
          </w:tcPr>
          <w:p>
            <w:pPr>
              <w:adjustRightInd w:val="0"/>
              <w:snapToGrid w:val="0"/>
              <w:spacing w:line="240" w:lineRule="auto"/>
              <w:ind w:firstLine="0" w:firstLineChars="0"/>
              <w:jc w:val="center"/>
              <w:rPr>
                <w:sz w:val="21"/>
                <w:szCs w:val="21"/>
              </w:rPr>
            </w:pPr>
            <w:r>
              <w:rPr>
                <w:rFonts w:hint="eastAsia"/>
                <w:sz w:val="21"/>
                <w:szCs w:val="21"/>
              </w:rPr>
              <w:t>1</w:t>
            </w:r>
          </w:p>
        </w:tc>
        <w:tc>
          <w:tcPr>
            <w:tcW w:w="918" w:type="pct"/>
            <w:vAlign w:val="center"/>
          </w:tcPr>
          <w:p>
            <w:pPr>
              <w:adjustRightInd w:val="0"/>
              <w:snapToGrid w:val="0"/>
              <w:spacing w:line="240" w:lineRule="auto"/>
              <w:ind w:firstLine="0" w:firstLineChars="0"/>
              <w:jc w:val="center"/>
              <w:rPr>
                <w:sz w:val="21"/>
                <w:szCs w:val="21"/>
              </w:rPr>
            </w:pPr>
            <w:r>
              <w:rPr>
                <w:sz w:val="21"/>
                <w:szCs w:val="21"/>
              </w:rPr>
              <w:t>电</w:t>
            </w:r>
          </w:p>
        </w:tc>
        <w:tc>
          <w:tcPr>
            <w:tcW w:w="967" w:type="pct"/>
            <w:vAlign w:val="center"/>
          </w:tcPr>
          <w:p>
            <w:pPr>
              <w:adjustRightInd w:val="0"/>
              <w:snapToGrid w:val="0"/>
              <w:spacing w:line="240" w:lineRule="auto"/>
              <w:ind w:firstLine="0" w:firstLineChars="0"/>
              <w:jc w:val="center"/>
              <w:rPr>
                <w:sz w:val="21"/>
                <w:szCs w:val="21"/>
              </w:rPr>
            </w:pPr>
            <w:r>
              <w:rPr>
                <w:sz w:val="21"/>
                <w:szCs w:val="21"/>
              </w:rPr>
              <w:t>万千瓦时</w:t>
            </w:r>
            <w:r>
              <w:rPr>
                <w:rFonts w:hint="eastAsia"/>
                <w:sz w:val="21"/>
                <w:szCs w:val="21"/>
              </w:rPr>
              <w:t>/a</w:t>
            </w:r>
          </w:p>
        </w:tc>
        <w:tc>
          <w:tcPr>
            <w:tcW w:w="1222" w:type="pct"/>
            <w:vAlign w:val="center"/>
          </w:tcPr>
          <w:p>
            <w:pPr>
              <w:pStyle w:val="134"/>
              <w:jc w:val="center"/>
              <w:rPr>
                <w:rFonts w:ascii="Times New Roman" w:hAnsi="Times New Roman" w:cs="Times New Roman"/>
                <w:color w:val="auto"/>
              </w:rPr>
            </w:pPr>
            <w:r>
              <w:rPr>
                <w:rFonts w:hint="eastAsia" w:ascii="Times New Roman" w:hAnsi="Times New Roman" w:cs="Times New Roman"/>
                <w:color w:val="auto"/>
              </w:rPr>
              <w:t>1146</w:t>
            </w:r>
          </w:p>
        </w:tc>
        <w:tc>
          <w:tcPr>
            <w:tcW w:w="1222" w:type="pct"/>
            <w:vAlign w:val="center"/>
          </w:tcPr>
          <w:p>
            <w:pPr>
              <w:adjustRightInd w:val="0"/>
              <w:snapToGrid w:val="0"/>
              <w:spacing w:line="240" w:lineRule="auto"/>
              <w:ind w:firstLine="0" w:firstLineChars="0"/>
              <w:jc w:val="center"/>
              <w:rPr>
                <w:sz w:val="21"/>
                <w:szCs w:val="21"/>
              </w:rPr>
            </w:pPr>
            <w:r>
              <w:rPr>
                <w:sz w:val="21"/>
                <w:szCs w:val="21"/>
              </w:rPr>
              <w:t>1030</w:t>
            </w:r>
          </w:p>
        </w:tc>
      </w:tr>
    </w:tbl>
    <w:p>
      <w:pPr>
        <w:pStyle w:val="134"/>
        <w:rPr>
          <w:color w:val="auto"/>
        </w:rPr>
      </w:pPr>
      <w:bookmarkStart w:id="106" w:name="_Toc14737"/>
      <w:bookmarkStart w:id="107" w:name="_Toc12932"/>
    </w:p>
    <w:p>
      <w:pPr>
        <w:pStyle w:val="8"/>
        <w:keepNext w:val="0"/>
        <w:keepLines w:val="0"/>
        <w:spacing w:before="240" w:beforeLines="100"/>
        <w:rPr>
          <w:color w:val="auto"/>
        </w:rPr>
      </w:pPr>
      <w:bookmarkStart w:id="108" w:name="_Toc16095"/>
      <w:r>
        <w:rPr>
          <w:color w:val="auto"/>
        </w:rPr>
        <w:t>3.5  工作制度及劳动定员</w:t>
      </w:r>
      <w:bookmarkEnd w:id="100"/>
      <w:bookmarkEnd w:id="106"/>
      <w:bookmarkEnd w:id="107"/>
      <w:bookmarkEnd w:id="108"/>
    </w:p>
    <w:p>
      <w:pPr>
        <w:ind w:firstLine="480"/>
      </w:pPr>
      <w:r>
        <w:rPr>
          <w:kern w:val="0"/>
          <w:lang w:bidi="ar"/>
        </w:rPr>
        <w:t>本项目环评阶段劳动定员</w:t>
      </w:r>
      <w:r>
        <w:rPr>
          <w:rFonts w:hint="eastAsia"/>
        </w:rPr>
        <w:t>20</w:t>
      </w:r>
      <w:r>
        <w:t>人，全部由原有生产人员培训后上岗，不新增员工；年工作时间250天，工作制度实行双班制，每班8小时。项目验收期间，年工作时间仍为250天，</w:t>
      </w:r>
      <w:r>
        <w:rPr>
          <w:rFonts w:hint="eastAsia"/>
        </w:rPr>
        <w:t>两</w:t>
      </w:r>
      <w:r>
        <w:t>班倒，员工人数、年工作时长与环评中的一致。</w:t>
      </w:r>
    </w:p>
    <w:p>
      <w:pPr>
        <w:pStyle w:val="8"/>
        <w:keepNext w:val="0"/>
        <w:keepLines w:val="0"/>
        <w:spacing w:before="240" w:beforeLines="100"/>
        <w:rPr>
          <w:color w:val="auto"/>
        </w:rPr>
      </w:pPr>
      <w:bookmarkStart w:id="109" w:name="_Toc827"/>
      <w:bookmarkStart w:id="110" w:name="_Toc32377"/>
      <w:bookmarkStart w:id="111" w:name="_Toc30811"/>
      <w:bookmarkStart w:id="112" w:name="_Toc5358"/>
      <w:r>
        <w:rPr>
          <w:color w:val="auto"/>
        </w:rPr>
        <w:t xml:space="preserve">3.6 </w:t>
      </w:r>
      <w:bookmarkEnd w:id="101"/>
      <w:bookmarkEnd w:id="102"/>
      <w:bookmarkEnd w:id="103"/>
      <w:bookmarkEnd w:id="109"/>
      <w:bookmarkEnd w:id="110"/>
      <w:bookmarkEnd w:id="111"/>
      <w:r>
        <w:rPr>
          <w:color w:val="auto"/>
        </w:rPr>
        <w:t xml:space="preserve"> </w:t>
      </w:r>
      <w:r>
        <w:rPr>
          <w:rFonts w:hint="eastAsia"/>
          <w:color w:val="auto"/>
        </w:rPr>
        <w:t>公用工程</w:t>
      </w:r>
      <w:bookmarkEnd w:id="112"/>
    </w:p>
    <w:p>
      <w:pPr>
        <w:ind w:firstLine="480"/>
      </w:pPr>
      <w:bookmarkStart w:id="113" w:name="_Toc20286"/>
      <w:bookmarkStart w:id="114" w:name="_Toc7009"/>
      <w:bookmarkStart w:id="115" w:name="_Toc6448"/>
      <w:bookmarkStart w:id="116" w:name="_Toc14231"/>
      <w:bookmarkStart w:id="117" w:name="_Toc47431940"/>
      <w:bookmarkStart w:id="118" w:name="_Toc32228"/>
      <w:r>
        <w:t>（1）</w:t>
      </w:r>
      <w:r>
        <w:rPr>
          <w:rFonts w:hint="eastAsia"/>
        </w:rPr>
        <w:t xml:space="preserve"> </w:t>
      </w:r>
      <w:r>
        <w:t>给水</w:t>
      </w:r>
    </w:p>
    <w:p>
      <w:pPr>
        <w:ind w:firstLine="480"/>
      </w:pPr>
      <w:r>
        <w:t>项目由市政供水，项目人员由原有生产人员培训后上岗，不需新增员工，项目无生产及生活用水。</w:t>
      </w:r>
    </w:p>
    <w:p>
      <w:pPr>
        <w:ind w:firstLine="480"/>
      </w:pPr>
      <w:r>
        <w:t>（2）</w:t>
      </w:r>
      <w:r>
        <w:rPr>
          <w:rFonts w:hint="eastAsia"/>
        </w:rPr>
        <w:t xml:space="preserve"> </w:t>
      </w:r>
      <w:r>
        <w:t>排水</w:t>
      </w:r>
    </w:p>
    <w:p>
      <w:pPr>
        <w:ind w:firstLine="480"/>
      </w:pPr>
      <w:r>
        <w:t>项目</w:t>
      </w:r>
      <w:r>
        <w:rPr>
          <w:rFonts w:hint="eastAsia"/>
        </w:rPr>
        <w:t>无新增员工，喷头清洗仅使用少量喷头清洗剂，不使用水。</w:t>
      </w:r>
    </w:p>
    <w:p>
      <w:pPr>
        <w:ind w:firstLine="480"/>
      </w:pPr>
      <w:r>
        <w:rPr>
          <w:rFonts w:hint="eastAsia"/>
        </w:rPr>
        <w:t>因此项目</w:t>
      </w:r>
      <w:r>
        <w:t>无生产及生活污水</w:t>
      </w:r>
      <w:r>
        <w:rPr>
          <w:rFonts w:hint="eastAsia"/>
        </w:rPr>
        <w:t>产生</w:t>
      </w:r>
      <w:r>
        <w:t>。</w:t>
      </w:r>
    </w:p>
    <w:p>
      <w:pPr>
        <w:ind w:firstLine="480"/>
      </w:pPr>
      <w:r>
        <w:t>（3）</w:t>
      </w:r>
      <w:r>
        <w:rPr>
          <w:rFonts w:hint="eastAsia"/>
        </w:rPr>
        <w:t xml:space="preserve"> </w:t>
      </w:r>
      <w:r>
        <w:t>供电</w:t>
      </w:r>
    </w:p>
    <w:p>
      <w:pPr>
        <w:ind w:firstLine="480"/>
      </w:pPr>
      <w:r>
        <w:rPr>
          <w:rFonts w:hint="eastAsia"/>
        </w:rPr>
        <w:t>市政供电</w:t>
      </w:r>
      <w:r>
        <w:t>。</w:t>
      </w:r>
    </w:p>
    <w:p>
      <w:pPr>
        <w:ind w:firstLine="480"/>
      </w:pPr>
      <w:r>
        <w:t>（4）</w:t>
      </w:r>
      <w:r>
        <w:rPr>
          <w:rFonts w:hint="eastAsia"/>
        </w:rPr>
        <w:t xml:space="preserve"> </w:t>
      </w:r>
      <w:r>
        <w:t>供热</w:t>
      </w:r>
    </w:p>
    <w:p>
      <w:pPr>
        <w:pStyle w:val="2"/>
      </w:pPr>
      <w:r>
        <w:t>项目冬季采暖由沈阳市第二热力供暖公司集中供热。</w:t>
      </w:r>
    </w:p>
    <w:p>
      <w:pPr>
        <w:pStyle w:val="3"/>
        <w:ind w:firstLine="170"/>
      </w:pPr>
    </w:p>
    <w:p>
      <w:pPr>
        <w:pStyle w:val="8"/>
        <w:keepNext w:val="0"/>
        <w:keepLines w:val="0"/>
        <w:rPr>
          <w:color w:val="auto"/>
        </w:rPr>
      </w:pPr>
      <w:bookmarkStart w:id="119" w:name="_Toc3625"/>
      <w:r>
        <w:rPr>
          <w:color w:val="auto"/>
        </w:rPr>
        <w:t>3.7  生产工艺</w:t>
      </w:r>
      <w:bookmarkEnd w:id="113"/>
      <w:bookmarkEnd w:id="114"/>
      <w:bookmarkEnd w:id="115"/>
      <w:bookmarkEnd w:id="116"/>
      <w:bookmarkEnd w:id="117"/>
      <w:bookmarkEnd w:id="118"/>
      <w:bookmarkEnd w:id="119"/>
    </w:p>
    <w:p>
      <w:pPr>
        <w:ind w:firstLine="480"/>
      </w:pPr>
      <w:r>
        <w:rPr>
          <w:rFonts w:hint="eastAsia"/>
        </w:rPr>
        <w:t>项目工艺流程及排污节点如下图所示。</w:t>
      </w:r>
    </w:p>
    <w:p>
      <w:pPr>
        <w:pStyle w:val="2"/>
        <w:ind w:firstLine="0"/>
        <w:jc w:val="center"/>
      </w:pPr>
      <w:r>
        <w:rPr>
          <w:rFonts w:hint="eastAsia"/>
        </w:rPr>
        <w:drawing>
          <wp:inline distT="0" distB="0" distL="114300" distR="114300">
            <wp:extent cx="5389245" cy="4080510"/>
            <wp:effectExtent l="0" t="0" r="1905" b="0"/>
            <wp:docPr id="6" name="图片 6" descr="1611727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1727333(1)"/>
                    <pic:cNvPicPr>
                      <a:picLocks noChangeAspect="1"/>
                    </pic:cNvPicPr>
                  </pic:nvPicPr>
                  <pic:blipFill>
                    <a:blip r:embed="rId22"/>
                    <a:stretch>
                      <a:fillRect/>
                    </a:stretch>
                  </pic:blipFill>
                  <pic:spPr>
                    <a:xfrm>
                      <a:off x="0" y="0"/>
                      <a:ext cx="5398913" cy="4087804"/>
                    </a:xfrm>
                    <a:prstGeom prst="rect">
                      <a:avLst/>
                    </a:prstGeom>
                  </pic:spPr>
                </pic:pic>
              </a:graphicData>
            </a:graphic>
          </wp:inline>
        </w:drawing>
      </w:r>
    </w:p>
    <w:p>
      <w:pPr>
        <w:tabs>
          <w:tab w:val="left" w:pos="255"/>
          <w:tab w:val="left" w:pos="3585"/>
          <w:tab w:val="left" w:pos="5655"/>
        </w:tabs>
        <w:spacing w:before="72" w:after="72"/>
        <w:ind w:firstLine="0" w:firstLineChars="0"/>
        <w:jc w:val="center"/>
        <w:rPr>
          <w:rFonts w:eastAsia="黑体"/>
          <w:sz w:val="21"/>
          <w:szCs w:val="21"/>
        </w:rPr>
      </w:pPr>
      <w:r>
        <w:rPr>
          <w:rFonts w:eastAsia="黑体"/>
          <w:sz w:val="21"/>
          <w:szCs w:val="21"/>
        </w:rPr>
        <w:t>图3.7-1  项目工艺及产污节点流程图</w:t>
      </w:r>
    </w:p>
    <w:p>
      <w:pPr>
        <w:ind w:firstLine="0" w:firstLineChars="0"/>
      </w:pPr>
    </w:p>
    <w:p>
      <w:pPr>
        <w:adjustRightInd w:val="0"/>
        <w:snapToGrid w:val="0"/>
        <w:ind w:firstLine="588" w:firstLineChars="245"/>
      </w:pPr>
      <w:r>
        <w:t>彩喷工艺流程说明：</w:t>
      </w:r>
    </w:p>
    <w:p>
      <w:pPr>
        <w:adjustRightInd w:val="0"/>
        <w:snapToGrid w:val="0"/>
        <w:ind w:firstLine="588" w:firstLineChars="245"/>
      </w:pPr>
      <w:r>
        <w:t>（1）</w:t>
      </w:r>
      <w:r>
        <w:rPr>
          <w:rFonts w:hint="eastAsia"/>
        </w:rPr>
        <w:t xml:space="preserve"> </w:t>
      </w:r>
      <w:r>
        <w:t>打印图稿模版生成和导入</w:t>
      </w:r>
    </w:p>
    <w:p>
      <w:pPr>
        <w:adjustRightInd w:val="0"/>
        <w:snapToGrid w:val="0"/>
        <w:ind w:firstLine="588" w:firstLineChars="245"/>
      </w:pPr>
      <w:r>
        <w:t>通过打印建模软件将彩印图案的设计稿处理生成打印稿，形成打印模版并储存至打印控制存储器。设计图稿要根据相机定位采集的待打印硬币图像进行适当的修改；根据实际打印品的色彩，适当调节图稿色彩。</w:t>
      </w:r>
    </w:p>
    <w:p>
      <w:pPr>
        <w:adjustRightInd w:val="0"/>
        <w:snapToGrid w:val="0"/>
        <w:ind w:firstLine="588" w:firstLineChars="245"/>
      </w:pPr>
      <w:r>
        <w:t>此工序为人工电脑操作，无污染产生。</w:t>
      </w:r>
    </w:p>
    <w:p>
      <w:pPr>
        <w:adjustRightInd w:val="0"/>
        <w:snapToGrid w:val="0"/>
        <w:ind w:firstLine="588" w:firstLineChars="245"/>
      </w:pPr>
      <w:r>
        <w:rPr>
          <w:rFonts w:hint="eastAsia"/>
        </w:rPr>
        <w:t xml:space="preserve">（2） </w:t>
      </w:r>
      <w:r>
        <w:t>彩印正反面检测翻面及映射</w:t>
      </w:r>
      <w:r>
        <w:rPr>
          <w:rFonts w:hint="eastAsia"/>
        </w:rPr>
        <w:t>及</w:t>
      </w:r>
      <w:r>
        <w:t>打印模版子集的定位修正</w:t>
      </w:r>
    </w:p>
    <w:p>
      <w:pPr>
        <w:adjustRightInd w:val="0"/>
        <w:snapToGrid w:val="0"/>
        <w:ind w:firstLine="480"/>
      </w:pPr>
      <w:r>
        <w:t>对金属币章的彩印面进行检测并统一翻面整理。根据图像采集装置获取的图像信息，通过计算获取每一枚实时输入金属币章的角度偏转数值以及坐标偏移的方向和大小。</w:t>
      </w:r>
    </w:p>
    <w:p>
      <w:pPr>
        <w:adjustRightInd w:val="0"/>
        <w:snapToGrid w:val="0"/>
        <w:ind w:firstLine="588" w:firstLineChars="245"/>
      </w:pPr>
      <w:r>
        <w:t>根据预设的映射关系读取相应偏差角度的打印稿模版子集图像，从而进行坐标修正处理后的打印，此工序无污染物产生。</w:t>
      </w:r>
    </w:p>
    <w:p>
      <w:pPr>
        <w:adjustRightInd w:val="0"/>
        <w:snapToGrid w:val="0"/>
        <w:ind w:firstLine="588" w:firstLineChars="245"/>
      </w:pPr>
      <w:r>
        <w:rPr>
          <w:rFonts w:hint="eastAsia"/>
        </w:rPr>
        <w:t xml:space="preserve">（3） </w:t>
      </w:r>
      <w:r>
        <w:t>彩喷机打印+紫外光固化</w:t>
      </w:r>
    </w:p>
    <w:p>
      <w:pPr>
        <w:adjustRightInd w:val="0"/>
        <w:snapToGrid w:val="0"/>
        <w:ind w:firstLine="588" w:firstLineChars="245"/>
      </w:pPr>
      <w:r>
        <w:t>对彩印图案区域分别进行印前处理（底油打印+紫外光固化）、底色打印（白色打印+紫外光固化）、K色打印，C色打印，M色打印，Y色打印，紫外光固化以及功能打印（光油打印+紫外光固化）。彩喷使用的是UV固化油墨，在紫外线能量的作用下，引发剂吸收一定波长的光子，激发到激发态，完成分子交联聚合，在极短的时间内固化成膜。</w:t>
      </w:r>
      <w:r>
        <w:rPr>
          <w:rFonts w:hint="eastAsia"/>
        </w:rPr>
        <w:t>本工序无调配、烘干工序。</w:t>
      </w:r>
      <w:r>
        <w:t>该过程会产生少量彩喷废气G1，主要污染因子为非甲烷总烃。彩喷机喷头使用抹布沾染清洗剂进行定期擦拭清洁，会产生擦拭废气G2。油墨的使用会产生沾染化学品的废化学品包装物S1。</w:t>
      </w:r>
    </w:p>
    <w:p>
      <w:pPr>
        <w:adjustRightInd w:val="0"/>
        <w:snapToGrid w:val="0"/>
        <w:ind w:firstLine="588" w:firstLineChars="245"/>
      </w:pPr>
      <w:r>
        <w:t>（4）</w:t>
      </w:r>
      <w:r>
        <w:rPr>
          <w:rFonts w:hint="eastAsia"/>
        </w:rPr>
        <w:t xml:space="preserve"> 彩印质量检测</w:t>
      </w:r>
    </w:p>
    <w:p>
      <w:pPr>
        <w:adjustRightInd w:val="0"/>
        <w:snapToGrid w:val="0"/>
        <w:ind w:firstLine="588" w:firstLineChars="245"/>
      </w:pPr>
      <w:r>
        <w:t>对最终的彩印成品质量进行检测，该过程会产生不合格品S2。</w:t>
      </w:r>
    </w:p>
    <w:p>
      <w:pPr>
        <w:adjustRightInd w:val="0"/>
        <w:snapToGrid w:val="0"/>
        <w:ind w:firstLine="588" w:firstLineChars="245"/>
      </w:pPr>
      <w:r>
        <w:t>（5）</w:t>
      </w:r>
      <w:r>
        <w:rPr>
          <w:rFonts w:hint="eastAsia"/>
        </w:rPr>
        <w:t xml:space="preserve"> 整体固化</w:t>
      </w:r>
    </w:p>
    <w:p>
      <w:pPr>
        <w:adjustRightInd w:val="0"/>
        <w:snapToGrid w:val="0"/>
        <w:ind w:firstLine="588" w:firstLineChars="245"/>
      </w:pPr>
      <w:r>
        <w:t>检测合格后对彩印面进行整体紫外光固化并输出彩印成品，该过程会产生少量彩喷废气G1，主要污染因子为非甲烷总烃。</w:t>
      </w:r>
    </w:p>
    <w:p>
      <w:pPr>
        <w:adjustRightInd w:val="0"/>
        <w:snapToGrid w:val="0"/>
        <w:ind w:firstLine="588" w:firstLineChars="245"/>
      </w:pPr>
      <w:r>
        <w:t>（6）</w:t>
      </w:r>
      <w:r>
        <w:rPr>
          <w:rFonts w:hint="eastAsia"/>
        </w:rPr>
        <w:t xml:space="preserve"> 打包入库</w:t>
      </w:r>
    </w:p>
    <w:p>
      <w:pPr>
        <w:adjustRightInd w:val="0"/>
        <w:snapToGrid w:val="0"/>
        <w:ind w:firstLine="588" w:firstLineChars="245"/>
      </w:pPr>
      <w:r>
        <w:t>对彩印成品进行打包入库，该过程会产生废包装材料S3。</w:t>
      </w:r>
    </w:p>
    <w:p>
      <w:pPr>
        <w:adjustRightInd w:val="0"/>
        <w:snapToGrid w:val="0"/>
        <w:ind w:firstLine="588" w:firstLineChars="245"/>
      </w:pPr>
      <w:r>
        <w:t>其他产污节点：废气处理装置会产生废活性炭S4。</w:t>
      </w:r>
    </w:p>
    <w:p>
      <w:pPr>
        <w:pStyle w:val="8"/>
        <w:keepNext w:val="0"/>
        <w:keepLines w:val="0"/>
        <w:spacing w:before="240" w:beforeLines="100"/>
        <w:rPr>
          <w:color w:val="auto"/>
        </w:rPr>
      </w:pPr>
      <w:bookmarkStart w:id="120" w:name="_Toc47431941"/>
      <w:bookmarkStart w:id="121" w:name="_Toc2280"/>
      <w:bookmarkStart w:id="122" w:name="_Toc1739"/>
      <w:bookmarkStart w:id="123" w:name="_Toc23787"/>
      <w:bookmarkStart w:id="124" w:name="_Toc25077"/>
      <w:bookmarkStart w:id="125" w:name="_Toc20531"/>
      <w:bookmarkStart w:id="126" w:name="_Toc17594"/>
      <w:r>
        <w:rPr>
          <w:color w:val="auto"/>
        </w:rPr>
        <w:t>3.8  项目变动情况</w:t>
      </w:r>
      <w:bookmarkEnd w:id="120"/>
      <w:bookmarkEnd w:id="121"/>
      <w:bookmarkEnd w:id="122"/>
      <w:bookmarkEnd w:id="123"/>
      <w:bookmarkEnd w:id="124"/>
      <w:bookmarkEnd w:id="125"/>
      <w:bookmarkEnd w:id="126"/>
    </w:p>
    <w:p>
      <w:pPr>
        <w:ind w:firstLine="480"/>
      </w:pPr>
      <w:r>
        <w:rPr>
          <w:rFonts w:hint="eastAsia"/>
        </w:rPr>
        <w:t>一、对本项目建设环评要求环保设施与实际建设情况对照</w:t>
      </w:r>
    </w:p>
    <w:p>
      <w:pPr>
        <w:pStyle w:val="58"/>
      </w:pPr>
      <w:r>
        <w:rPr>
          <w:snapToGrid w:val="0"/>
        </w:rPr>
        <w:t>表</w:t>
      </w:r>
      <w:r>
        <w:rPr>
          <w:rFonts w:hint="eastAsia"/>
          <w:snapToGrid w:val="0"/>
        </w:rPr>
        <w:t>3.8</w:t>
      </w:r>
      <w:r>
        <w:rPr>
          <w:snapToGrid w:val="0"/>
        </w:rPr>
        <w:t xml:space="preserve">-1         </w:t>
      </w:r>
      <w:r>
        <w:rPr>
          <w:rFonts w:hint="eastAsia"/>
          <w:snapToGrid w:val="0"/>
        </w:rPr>
        <w:t xml:space="preserve"> </w:t>
      </w:r>
      <w:r>
        <w:rPr>
          <w:snapToGrid w:val="0"/>
        </w:rPr>
        <w:t xml:space="preserve"> </w:t>
      </w:r>
      <w:r>
        <w:rPr>
          <w:rFonts w:hint="eastAsia"/>
          <w:snapToGrid w:val="0"/>
        </w:rPr>
        <w:t xml:space="preserve">     </w:t>
      </w:r>
      <w:r>
        <w:rPr>
          <w:snapToGrid w:val="0"/>
        </w:rPr>
        <w:t xml:space="preserve">    环评要求环保设施与实际建设情况对照</w:t>
      </w:r>
    </w:p>
    <w:tbl>
      <w:tblPr>
        <w:tblStyle w:val="46"/>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7"/>
        <w:gridCol w:w="1645"/>
        <w:gridCol w:w="2907"/>
        <w:gridCol w:w="435"/>
        <w:gridCol w:w="2469"/>
        <w:gridCol w:w="870"/>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Align w:val="center"/>
          </w:tcPr>
          <w:p>
            <w:pPr>
              <w:pStyle w:val="56"/>
            </w:pPr>
            <w:r>
              <w:t>类别</w:t>
            </w:r>
          </w:p>
        </w:tc>
        <w:tc>
          <w:tcPr>
            <w:tcW w:w="914" w:type="pct"/>
            <w:vAlign w:val="center"/>
          </w:tcPr>
          <w:p>
            <w:pPr>
              <w:pStyle w:val="56"/>
            </w:pPr>
            <w:r>
              <w:t>项目</w:t>
            </w:r>
          </w:p>
        </w:tc>
        <w:tc>
          <w:tcPr>
            <w:tcW w:w="1614" w:type="pct"/>
            <w:vAlign w:val="center"/>
          </w:tcPr>
          <w:p>
            <w:pPr>
              <w:pStyle w:val="56"/>
            </w:pPr>
            <w:r>
              <w:rPr>
                <w:rFonts w:hint="eastAsia"/>
              </w:rPr>
              <w:t>环评报告中</w:t>
            </w:r>
            <w:r>
              <w:t>治理措施</w:t>
            </w:r>
          </w:p>
        </w:tc>
        <w:tc>
          <w:tcPr>
            <w:tcW w:w="242" w:type="pct"/>
            <w:vAlign w:val="center"/>
          </w:tcPr>
          <w:p>
            <w:pPr>
              <w:pStyle w:val="56"/>
            </w:pPr>
            <w:r>
              <w:t>数量</w:t>
            </w:r>
          </w:p>
        </w:tc>
        <w:tc>
          <w:tcPr>
            <w:tcW w:w="1371" w:type="pct"/>
            <w:vAlign w:val="center"/>
          </w:tcPr>
          <w:p>
            <w:pPr>
              <w:pStyle w:val="56"/>
            </w:pPr>
            <w:r>
              <w:t>验收标准</w:t>
            </w:r>
          </w:p>
        </w:tc>
        <w:tc>
          <w:tcPr>
            <w:tcW w:w="483" w:type="pct"/>
            <w:vAlign w:val="center"/>
          </w:tcPr>
          <w:p>
            <w:pPr>
              <w:pStyle w:val="56"/>
            </w:pPr>
            <w:r>
              <w:t>实际建设情况</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Align w:val="center"/>
          </w:tcPr>
          <w:p>
            <w:pPr>
              <w:pStyle w:val="56"/>
            </w:pPr>
            <w:r>
              <w:t>废气</w:t>
            </w:r>
          </w:p>
        </w:tc>
        <w:tc>
          <w:tcPr>
            <w:tcW w:w="914" w:type="pct"/>
            <w:vAlign w:val="center"/>
          </w:tcPr>
          <w:p>
            <w:pPr>
              <w:pStyle w:val="56"/>
            </w:pPr>
            <w:r>
              <w:rPr>
                <w:rFonts w:hint="eastAsia"/>
              </w:rPr>
              <w:t>彩喷、擦拭、存储</w:t>
            </w:r>
            <w:r>
              <w:t>非甲烷总烃</w:t>
            </w:r>
          </w:p>
        </w:tc>
        <w:tc>
          <w:tcPr>
            <w:tcW w:w="1614" w:type="pct"/>
            <w:vAlign w:val="center"/>
          </w:tcPr>
          <w:p>
            <w:pPr>
              <w:pStyle w:val="56"/>
            </w:pPr>
            <w:r>
              <w:rPr>
                <w:rFonts w:hint="eastAsia"/>
              </w:rPr>
              <w:t>彩喷机设置在专用密封罩中，为全封闭设计，每5台彩喷机设置在1个密闭罩；危废间、油墨存储间全封闭设计，废气经密封收集，和彩喷工艺废气共同经活性炭吸附处理，处理后由1根22m高排气筒排放。</w:t>
            </w:r>
          </w:p>
        </w:tc>
        <w:tc>
          <w:tcPr>
            <w:tcW w:w="242" w:type="pct"/>
            <w:vAlign w:val="center"/>
          </w:tcPr>
          <w:p>
            <w:pPr>
              <w:pStyle w:val="56"/>
            </w:pPr>
            <w:r>
              <w:rPr>
                <w:rFonts w:hint="eastAsia"/>
              </w:rPr>
              <w:t>1</w:t>
            </w:r>
            <w:r>
              <w:t>套</w:t>
            </w:r>
          </w:p>
        </w:tc>
        <w:tc>
          <w:tcPr>
            <w:tcW w:w="1371" w:type="pct"/>
            <w:vAlign w:val="center"/>
          </w:tcPr>
          <w:p>
            <w:pPr>
              <w:pStyle w:val="56"/>
            </w:pPr>
            <w:r>
              <w:rPr>
                <w:rFonts w:hint="eastAsia"/>
              </w:rPr>
              <w:t>《印刷业挥发性有机物排放标准》（DB21/3161-2019）</w:t>
            </w:r>
          </w:p>
          <w:p>
            <w:pPr>
              <w:pStyle w:val="56"/>
            </w:pPr>
            <w:r>
              <w:rPr>
                <w:rFonts w:hint="eastAsia"/>
              </w:rPr>
              <w:t>《挥发性有机物无组织排放标准》（GB37822-2019</w:t>
            </w:r>
            <w:r>
              <w:t>）</w:t>
            </w:r>
          </w:p>
        </w:tc>
        <w:tc>
          <w:tcPr>
            <w:tcW w:w="483" w:type="pct"/>
            <w:vAlign w:val="center"/>
          </w:tcPr>
          <w:p>
            <w:pPr>
              <w:pStyle w:val="56"/>
            </w:pPr>
            <w:r>
              <w:rPr>
                <w:rFonts w:hint="eastAsia"/>
              </w:rPr>
              <w:t>已落实</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Align w:val="center"/>
          </w:tcPr>
          <w:p>
            <w:pPr>
              <w:pStyle w:val="56"/>
            </w:pPr>
            <w:r>
              <w:t>噪声</w:t>
            </w:r>
          </w:p>
        </w:tc>
        <w:tc>
          <w:tcPr>
            <w:tcW w:w="914" w:type="pct"/>
            <w:vAlign w:val="center"/>
          </w:tcPr>
          <w:p>
            <w:pPr>
              <w:pStyle w:val="56"/>
            </w:pPr>
            <w:r>
              <w:t>隔声降噪减震系统</w:t>
            </w:r>
          </w:p>
        </w:tc>
        <w:tc>
          <w:tcPr>
            <w:tcW w:w="1614" w:type="pct"/>
            <w:vAlign w:val="center"/>
          </w:tcPr>
          <w:p>
            <w:pPr>
              <w:pStyle w:val="56"/>
            </w:pPr>
            <w:r>
              <w:t>基础减振、墙壁隔声</w:t>
            </w:r>
          </w:p>
        </w:tc>
        <w:tc>
          <w:tcPr>
            <w:tcW w:w="242" w:type="pct"/>
            <w:vAlign w:val="center"/>
          </w:tcPr>
          <w:p>
            <w:pPr>
              <w:pStyle w:val="56"/>
            </w:pPr>
            <w:r>
              <w:t>—</w:t>
            </w:r>
          </w:p>
        </w:tc>
        <w:tc>
          <w:tcPr>
            <w:tcW w:w="1371" w:type="pct"/>
            <w:vAlign w:val="center"/>
          </w:tcPr>
          <w:p>
            <w:pPr>
              <w:pStyle w:val="56"/>
            </w:pPr>
            <w:r>
              <w:t>符合《工业企业厂界环境噪声排放标准》中</w:t>
            </w:r>
            <w:r>
              <w:rPr>
                <w:rFonts w:hint="eastAsia"/>
              </w:rPr>
              <w:t>2</w:t>
            </w:r>
            <w:r>
              <w:t>类、4类</w:t>
            </w:r>
          </w:p>
        </w:tc>
        <w:tc>
          <w:tcPr>
            <w:tcW w:w="483" w:type="pct"/>
            <w:vAlign w:val="center"/>
          </w:tcPr>
          <w:p>
            <w:pPr>
              <w:pStyle w:val="56"/>
            </w:pPr>
            <w:r>
              <w:t>已落实</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Merge w:val="restart"/>
            <w:vAlign w:val="center"/>
          </w:tcPr>
          <w:p>
            <w:pPr>
              <w:pStyle w:val="56"/>
            </w:pPr>
            <w:r>
              <w:t>固废</w:t>
            </w:r>
          </w:p>
        </w:tc>
        <w:tc>
          <w:tcPr>
            <w:tcW w:w="914" w:type="pct"/>
            <w:vAlign w:val="center"/>
          </w:tcPr>
          <w:p>
            <w:pPr>
              <w:pStyle w:val="56"/>
            </w:pPr>
            <w:r>
              <w:t>包装材料</w:t>
            </w:r>
          </w:p>
        </w:tc>
        <w:tc>
          <w:tcPr>
            <w:tcW w:w="1614" w:type="pct"/>
            <w:vAlign w:val="center"/>
          </w:tcPr>
          <w:p>
            <w:pPr>
              <w:pStyle w:val="56"/>
            </w:pPr>
            <w:r>
              <w:rPr>
                <w:rFonts w:hint="eastAsia"/>
              </w:rPr>
              <w:t>集中收集，由废品回收站回收再利用</w:t>
            </w:r>
          </w:p>
        </w:tc>
        <w:tc>
          <w:tcPr>
            <w:tcW w:w="242" w:type="pct"/>
            <w:vAlign w:val="center"/>
          </w:tcPr>
          <w:p>
            <w:pPr>
              <w:pStyle w:val="56"/>
            </w:pPr>
            <w:r>
              <w:t>—</w:t>
            </w:r>
          </w:p>
        </w:tc>
        <w:tc>
          <w:tcPr>
            <w:tcW w:w="1371" w:type="pct"/>
            <w:vAlign w:val="center"/>
          </w:tcPr>
          <w:p>
            <w:pPr>
              <w:pStyle w:val="56"/>
            </w:pPr>
            <w:r>
              <w:t>有序处置</w:t>
            </w:r>
          </w:p>
        </w:tc>
        <w:tc>
          <w:tcPr>
            <w:tcW w:w="483" w:type="pct"/>
            <w:vAlign w:val="center"/>
          </w:tcPr>
          <w:p>
            <w:pPr>
              <w:pStyle w:val="56"/>
            </w:pPr>
            <w:r>
              <w:t>已落实</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Merge w:val="continue"/>
            <w:vAlign w:val="center"/>
          </w:tcPr>
          <w:p>
            <w:pPr>
              <w:pStyle w:val="56"/>
            </w:pPr>
          </w:p>
        </w:tc>
        <w:tc>
          <w:tcPr>
            <w:tcW w:w="914" w:type="pct"/>
            <w:vAlign w:val="center"/>
          </w:tcPr>
          <w:p>
            <w:pPr>
              <w:pStyle w:val="56"/>
            </w:pPr>
            <w:r>
              <w:t>不合格品</w:t>
            </w:r>
          </w:p>
        </w:tc>
        <w:tc>
          <w:tcPr>
            <w:tcW w:w="1614" w:type="pct"/>
            <w:vAlign w:val="center"/>
          </w:tcPr>
          <w:p>
            <w:pPr>
              <w:pStyle w:val="56"/>
            </w:pPr>
            <w:r>
              <w:rPr>
                <w:rFonts w:hint="eastAsia"/>
              </w:rPr>
              <w:t>销毁后返厂家</w:t>
            </w:r>
          </w:p>
        </w:tc>
        <w:tc>
          <w:tcPr>
            <w:tcW w:w="242" w:type="pct"/>
            <w:vAlign w:val="center"/>
          </w:tcPr>
          <w:p>
            <w:pPr>
              <w:pStyle w:val="56"/>
            </w:pPr>
          </w:p>
        </w:tc>
        <w:tc>
          <w:tcPr>
            <w:tcW w:w="1371" w:type="pct"/>
            <w:vAlign w:val="center"/>
          </w:tcPr>
          <w:p>
            <w:pPr>
              <w:pStyle w:val="56"/>
            </w:pPr>
            <w:r>
              <w:t>有序处置</w:t>
            </w:r>
          </w:p>
        </w:tc>
        <w:tc>
          <w:tcPr>
            <w:tcW w:w="483" w:type="pct"/>
            <w:vAlign w:val="center"/>
          </w:tcPr>
          <w:p>
            <w:pPr>
              <w:pStyle w:val="56"/>
            </w:pPr>
            <w:r>
              <w:t>已落实</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Merge w:val="continue"/>
            <w:vAlign w:val="center"/>
          </w:tcPr>
          <w:p>
            <w:pPr>
              <w:pStyle w:val="56"/>
            </w:pPr>
          </w:p>
        </w:tc>
        <w:tc>
          <w:tcPr>
            <w:tcW w:w="914" w:type="pct"/>
            <w:vAlign w:val="center"/>
          </w:tcPr>
          <w:p>
            <w:pPr>
              <w:pStyle w:val="56"/>
            </w:pPr>
            <w:r>
              <w:t>废</w:t>
            </w:r>
            <w:r>
              <w:rPr>
                <w:rFonts w:hint="eastAsia"/>
              </w:rPr>
              <w:t>油墨</w:t>
            </w:r>
            <w:r>
              <w:t>桶、废活性炭</w:t>
            </w:r>
            <w:r>
              <w:rPr>
                <w:rFonts w:hint="eastAsia"/>
              </w:rPr>
              <w:t>、废擦拭抹布、废油墨、废喷头清洗剂</w:t>
            </w:r>
          </w:p>
        </w:tc>
        <w:tc>
          <w:tcPr>
            <w:tcW w:w="1614" w:type="pct"/>
            <w:vAlign w:val="center"/>
          </w:tcPr>
          <w:p>
            <w:pPr>
              <w:pStyle w:val="56"/>
            </w:pPr>
            <w:r>
              <w:t>暂存于危废暂存间，统一交由有资质单位处理</w:t>
            </w:r>
          </w:p>
        </w:tc>
        <w:tc>
          <w:tcPr>
            <w:tcW w:w="242" w:type="pct"/>
            <w:vAlign w:val="center"/>
          </w:tcPr>
          <w:p>
            <w:pPr>
              <w:pStyle w:val="56"/>
            </w:pPr>
            <w:r>
              <w:t>—</w:t>
            </w:r>
          </w:p>
        </w:tc>
        <w:tc>
          <w:tcPr>
            <w:tcW w:w="1371" w:type="pct"/>
            <w:vAlign w:val="center"/>
          </w:tcPr>
          <w:p>
            <w:pPr>
              <w:pStyle w:val="56"/>
            </w:pPr>
            <w:r>
              <w:rPr>
                <w:rFonts w:hint="eastAsia"/>
                <w:bCs/>
                <w:szCs w:val="21"/>
              </w:rPr>
              <w:t>交由阜新环发废弃物处置有限公司处理。</w:t>
            </w:r>
          </w:p>
        </w:tc>
        <w:tc>
          <w:tcPr>
            <w:tcW w:w="483" w:type="pct"/>
            <w:vAlign w:val="center"/>
          </w:tcPr>
          <w:p>
            <w:pPr>
              <w:pStyle w:val="56"/>
            </w:pPr>
            <w:r>
              <w:rPr>
                <w:rFonts w:hint="eastAsia"/>
              </w:rPr>
              <w:t>已落实</w:t>
            </w:r>
          </w:p>
        </w:tc>
      </w:tr>
    </w:tbl>
    <w:p>
      <w:pPr>
        <w:ind w:firstLine="480"/>
      </w:pPr>
    </w:p>
    <w:p>
      <w:pPr>
        <w:ind w:firstLine="480"/>
        <w:rPr>
          <w:snapToGrid w:val="0"/>
        </w:rPr>
      </w:pPr>
      <w:r>
        <w:rPr>
          <w:rFonts w:hint="eastAsia"/>
          <w:snapToGrid w:val="0"/>
        </w:rPr>
        <w:t>二、对本项目环评批文提出的具体要求与实际落实情况对照表。</w:t>
      </w:r>
    </w:p>
    <w:p>
      <w:pPr>
        <w:pStyle w:val="58"/>
        <w:ind w:firstLine="360"/>
      </w:pPr>
      <w:r>
        <w:t>表</w:t>
      </w:r>
      <w:r>
        <w:rPr>
          <w:rFonts w:hint="eastAsia"/>
        </w:rPr>
        <w:t>3</w:t>
      </w:r>
      <w:r>
        <w:t>.</w:t>
      </w:r>
      <w:r>
        <w:rPr>
          <w:rFonts w:hint="eastAsia"/>
        </w:rPr>
        <w:t>8</w:t>
      </w:r>
      <w:r>
        <w:t>-</w:t>
      </w:r>
      <w:r>
        <w:rPr>
          <w:rFonts w:hint="eastAsia"/>
        </w:rPr>
        <w:t>2</w:t>
      </w:r>
      <w:r>
        <w:t xml:space="preserve">                    项目环评批复意见落实情况一览表</w:t>
      </w:r>
    </w:p>
    <w:tbl>
      <w:tblPr>
        <w:tblStyle w:val="46"/>
        <w:tblW w:w="0" w:type="auto"/>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5603"/>
        <w:gridCol w:w="1984"/>
        <w:gridCol w:w="707"/>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PrEx>
        <w:trPr>
          <w:trHeight w:val="340" w:hRule="atLeast"/>
          <w:jc w:val="center"/>
        </w:trPr>
        <w:tc>
          <w:tcPr>
            <w:tcW w:w="0" w:type="auto"/>
            <w:vAlign w:val="center"/>
          </w:tcPr>
          <w:p>
            <w:pPr>
              <w:pStyle w:val="56"/>
            </w:pPr>
            <w:r>
              <w:t>编号</w:t>
            </w:r>
          </w:p>
        </w:tc>
        <w:tc>
          <w:tcPr>
            <w:tcW w:w="5603" w:type="dxa"/>
            <w:vAlign w:val="center"/>
          </w:tcPr>
          <w:p>
            <w:pPr>
              <w:pStyle w:val="56"/>
            </w:pPr>
            <w:r>
              <w:t>环评</w:t>
            </w:r>
            <w:r>
              <w:rPr>
                <w:rFonts w:hint="eastAsia"/>
              </w:rPr>
              <w:t>批复</w:t>
            </w:r>
            <w:r>
              <w:t>要求防治措施</w:t>
            </w:r>
          </w:p>
        </w:tc>
        <w:tc>
          <w:tcPr>
            <w:tcW w:w="1984" w:type="dxa"/>
            <w:vAlign w:val="center"/>
          </w:tcPr>
          <w:p>
            <w:pPr>
              <w:pStyle w:val="56"/>
            </w:pPr>
            <w:r>
              <w:t>落实情况</w:t>
            </w:r>
          </w:p>
        </w:tc>
        <w:tc>
          <w:tcPr>
            <w:tcW w:w="707" w:type="dxa"/>
            <w:vAlign w:val="center"/>
          </w:tcPr>
          <w:p>
            <w:pPr>
              <w:pStyle w:val="56"/>
            </w:pPr>
            <w:r>
              <w:rPr>
                <w:rFonts w:hint="eastAsia"/>
              </w:rPr>
              <w:t>是否符合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pStyle w:val="56"/>
            </w:pPr>
            <w:r>
              <w:rPr>
                <w:rFonts w:hint="eastAsia"/>
              </w:rPr>
              <w:t>1</w:t>
            </w:r>
          </w:p>
        </w:tc>
        <w:tc>
          <w:tcPr>
            <w:tcW w:w="5603" w:type="dxa"/>
            <w:vAlign w:val="center"/>
          </w:tcPr>
          <w:p>
            <w:pPr>
              <w:pStyle w:val="56"/>
              <w:ind w:firstLine="420" w:firstLineChars="200"/>
              <w:jc w:val="left"/>
            </w:pPr>
            <w:r>
              <w:rPr>
                <w:rFonts w:hint="eastAsia"/>
              </w:rPr>
              <w:t>1、严格落实废气污染防治保护措施</w:t>
            </w:r>
          </w:p>
          <w:p>
            <w:pPr>
              <w:pStyle w:val="56"/>
              <w:ind w:firstLine="420" w:firstLineChars="200"/>
              <w:jc w:val="left"/>
            </w:pPr>
            <w:r>
              <w:rPr>
                <w:rFonts w:hint="eastAsia"/>
              </w:rPr>
              <w:t>项目采用能量固化油墨，油墨VOCS的含量应不超过10%；项目10台彩喷机生产及喷头清洗过程产生的废气，采用全封闭设计的专用密封罩收集，经两级活性炭装置处理后，由22米高的排气筒排放；危废暂存间及原料库产生的废气经废气收集系统收集后，经以上同一套活性炭装置处理后排放。项目产生的废气排放应满足《印刷业挥发性有机物排放标准》（DB21/3161-2019）中的排放限值要求；厂区内无组织排放浓度满足《挥发性有机物无组织排放标准》（GB37822-2019）标准限值要求。</w:t>
            </w:r>
          </w:p>
        </w:tc>
        <w:tc>
          <w:tcPr>
            <w:tcW w:w="1984" w:type="dxa"/>
            <w:vAlign w:val="center"/>
          </w:tcPr>
          <w:p>
            <w:pPr>
              <w:pStyle w:val="56"/>
            </w:pPr>
            <w:r>
              <w:rPr>
                <w:rFonts w:hint="eastAsia"/>
              </w:rPr>
              <w:t>油墨VOCS的含量不超过10%，彩喷废气专用密封罩收集，</w:t>
            </w:r>
            <w:r>
              <w:rPr>
                <w:rFonts w:hint="eastAsia"/>
                <w:lang w:val="en-US" w:eastAsia="zh-CN"/>
              </w:rPr>
              <w:t>经一套</w:t>
            </w:r>
            <w:r>
              <w:rPr>
                <w:rFonts w:hint="eastAsia"/>
                <w:szCs w:val="21"/>
                <w:lang w:val="en-US" w:eastAsia="zh-CN"/>
              </w:rPr>
              <w:t>两级串联活性炭吸附装置处理</w:t>
            </w:r>
            <w:r>
              <w:rPr>
                <w:rFonts w:hint="eastAsia"/>
              </w:rPr>
              <w:t>，危废暂存间及原料库产生的废气经一套</w:t>
            </w:r>
            <w:r>
              <w:rPr>
                <w:rFonts w:hint="eastAsia"/>
                <w:lang w:val="en-US" w:eastAsia="zh-CN"/>
              </w:rPr>
              <w:t>两级串联活性炭吸附装置处理</w:t>
            </w:r>
            <w:r>
              <w:rPr>
                <w:rFonts w:hint="eastAsia"/>
                <w:lang w:eastAsia="zh-CN"/>
              </w:rPr>
              <w:t>，</w:t>
            </w:r>
            <w:r>
              <w:rPr>
                <w:rFonts w:hint="eastAsia"/>
                <w:lang w:val="en-US" w:eastAsia="zh-CN"/>
              </w:rPr>
              <w:t>两股废气汇集在一起，由1根22m高排气筒有组织</w:t>
            </w:r>
            <w:r>
              <w:rPr>
                <w:rFonts w:hint="eastAsia"/>
              </w:rPr>
              <w:t>排放。已落实提出的环保措施，根据监测报告满足相应排放标准</w:t>
            </w:r>
          </w:p>
        </w:tc>
        <w:tc>
          <w:tcPr>
            <w:tcW w:w="707" w:type="dxa"/>
            <w:vAlign w:val="center"/>
          </w:tcPr>
          <w:p>
            <w:pPr>
              <w:pStyle w:val="56"/>
            </w:pPr>
            <w:r>
              <w:rPr>
                <w:rFonts w:hint="eastAsia"/>
              </w:rPr>
              <w:t>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pStyle w:val="56"/>
            </w:pPr>
            <w:r>
              <w:t>2</w:t>
            </w:r>
          </w:p>
        </w:tc>
        <w:tc>
          <w:tcPr>
            <w:tcW w:w="5603" w:type="dxa"/>
            <w:vAlign w:val="center"/>
          </w:tcPr>
          <w:p>
            <w:pPr>
              <w:pStyle w:val="56"/>
              <w:ind w:firstLine="420" w:firstLineChars="200"/>
              <w:jc w:val="left"/>
            </w:pPr>
            <w:r>
              <w:rPr>
                <w:rFonts w:hint="eastAsia"/>
              </w:rPr>
              <w:t>2、严格落实噪声污染防治保护措施</w:t>
            </w:r>
          </w:p>
          <w:p>
            <w:pPr>
              <w:pStyle w:val="56"/>
              <w:ind w:firstLine="420" w:firstLineChars="200"/>
              <w:jc w:val="left"/>
            </w:pPr>
            <w:r>
              <w:rPr>
                <w:rFonts w:hint="eastAsia"/>
              </w:rPr>
              <w:t>项目应选用低噪声设备，通过合理布局，经减振、隔声等措施降低噪声对周围环境的影响。厂界噪声排放执行《工业企业厂界环境噪声排放标准》（GB12348-2008）中2、4a类标准要求。</w:t>
            </w:r>
          </w:p>
        </w:tc>
        <w:tc>
          <w:tcPr>
            <w:tcW w:w="1984" w:type="dxa"/>
            <w:vAlign w:val="center"/>
          </w:tcPr>
          <w:p>
            <w:pPr>
              <w:pStyle w:val="56"/>
            </w:pPr>
            <w:r>
              <w:rPr>
                <w:rFonts w:hint="eastAsia"/>
              </w:rPr>
              <w:t>已低噪声设备、密闭罩等措施，根据监测结果满足排放标准要求。</w:t>
            </w:r>
          </w:p>
        </w:tc>
        <w:tc>
          <w:tcPr>
            <w:tcW w:w="707" w:type="dxa"/>
            <w:vAlign w:val="center"/>
          </w:tcPr>
          <w:p>
            <w:pPr>
              <w:pStyle w:val="56"/>
            </w:pPr>
            <w:r>
              <w:rPr>
                <w:rFonts w:hint="eastAsia"/>
              </w:rPr>
              <w:t>符合</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0" w:type="auto"/>
            <w:vAlign w:val="center"/>
          </w:tcPr>
          <w:p>
            <w:pPr>
              <w:pStyle w:val="56"/>
            </w:pPr>
            <w:r>
              <w:rPr>
                <w:rFonts w:hint="eastAsia"/>
              </w:rPr>
              <w:t>3</w:t>
            </w:r>
          </w:p>
        </w:tc>
        <w:tc>
          <w:tcPr>
            <w:tcW w:w="5603" w:type="dxa"/>
            <w:vAlign w:val="center"/>
          </w:tcPr>
          <w:p>
            <w:pPr>
              <w:pStyle w:val="56"/>
              <w:ind w:firstLine="420" w:firstLineChars="200"/>
              <w:jc w:val="left"/>
            </w:pPr>
            <w:r>
              <w:rPr>
                <w:rFonts w:hint="eastAsia"/>
              </w:rPr>
              <w:t>3、严格落实防止固体废物污染环境措施</w:t>
            </w:r>
          </w:p>
          <w:p>
            <w:pPr>
              <w:pStyle w:val="56"/>
              <w:ind w:firstLine="420" w:firstLineChars="200"/>
              <w:jc w:val="left"/>
            </w:pPr>
            <w:r>
              <w:rPr>
                <w:rFonts w:hint="eastAsia"/>
              </w:rPr>
              <w:t>固体废物必须按照国家和地方有关规定进行分类收集和处置。废墨盒、废油墨、废喷头清洗剂、废活性炭为危险废物，暂存于新建的危险废物暂存间内，定期委托具备处理资质的单位处置。危险废物暂存及处置执行《危险废物贮存污染控制标准》（GB18597-2001）及2013年修改单的要求；废包装、不合格品为一般工业固废，废包装收集后外售，不合格品销毁返厂。</w:t>
            </w:r>
          </w:p>
        </w:tc>
        <w:tc>
          <w:tcPr>
            <w:tcW w:w="1984" w:type="dxa"/>
            <w:vAlign w:val="center"/>
          </w:tcPr>
          <w:p>
            <w:pPr>
              <w:pStyle w:val="56"/>
            </w:pPr>
            <w:r>
              <w:rPr>
                <w:rFonts w:hint="eastAsia"/>
              </w:rPr>
              <w:t>固体废物进行分类收集和处置，危险废物暂存于新建的危险废物暂存间内，</w:t>
            </w:r>
            <w:r>
              <w:rPr>
                <w:rFonts w:hint="eastAsia"/>
                <w:bCs/>
                <w:szCs w:val="21"/>
              </w:rPr>
              <w:t>定期交由阜新环发废弃物处置有限公司处理。</w:t>
            </w:r>
            <w:r>
              <w:rPr>
                <w:rFonts w:hint="eastAsia"/>
              </w:rPr>
              <w:t>废包装、不合格品一般工业固废，废包装收集后外售，不合格品销毁返厂。已新建危废暂存间，所有固废有序处理。</w:t>
            </w:r>
          </w:p>
        </w:tc>
        <w:tc>
          <w:tcPr>
            <w:tcW w:w="707" w:type="dxa"/>
            <w:vAlign w:val="center"/>
          </w:tcPr>
          <w:p>
            <w:pPr>
              <w:pStyle w:val="56"/>
            </w:pPr>
            <w:r>
              <w:rPr>
                <w:rFonts w:hint="eastAsia"/>
              </w:rPr>
              <w:t>符合</w:t>
            </w:r>
          </w:p>
        </w:tc>
      </w:tr>
    </w:tbl>
    <w:p>
      <w:pPr>
        <w:pStyle w:val="3"/>
        <w:ind w:firstLine="0" w:firstLineChars="0"/>
      </w:pPr>
    </w:p>
    <w:p>
      <w:pPr>
        <w:pStyle w:val="6"/>
      </w:pPr>
      <w:r>
        <w:rPr>
          <w:rFonts w:hint="eastAsia"/>
        </w:rPr>
        <w:t>三、污染影响类建设项目重大变动清单明细。</w:t>
      </w:r>
    </w:p>
    <w:tbl>
      <w:tblPr>
        <w:tblStyle w:val="47"/>
        <w:tblW w:w="5119"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532"/>
        <w:gridCol w:w="4774"/>
        <w:gridCol w:w="2771"/>
        <w:gridCol w:w="71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序号</w:t>
            </w:r>
          </w:p>
        </w:tc>
        <w:tc>
          <w:tcPr>
            <w:tcW w:w="2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类别</w:t>
            </w: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内容</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本项目情况</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是否属于重大变动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1</w:t>
            </w:r>
          </w:p>
        </w:tc>
        <w:tc>
          <w:tcPr>
            <w:tcW w:w="2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性质</w:t>
            </w: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建设项目开发、使用功能发生变化的。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本项目使用功能未发生变化</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2</w:t>
            </w:r>
          </w:p>
        </w:tc>
        <w:tc>
          <w:tcPr>
            <w:tcW w:w="290" w:type="pct"/>
            <w:vMerge w:val="restar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规模</w:t>
            </w: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生产、处置或储存能力增大30%及以上的。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本项目生产能力未发生变化</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3</w:t>
            </w:r>
          </w:p>
        </w:tc>
        <w:tc>
          <w:tcPr>
            <w:tcW w:w="290" w:type="pct"/>
            <w:vMerge w:val="continue"/>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生产、处置或储存能力增大，导致废水第一类污染物排放量增加的。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本项目无生产及生活污水产生</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4</w:t>
            </w:r>
          </w:p>
        </w:tc>
        <w:tc>
          <w:tcPr>
            <w:tcW w:w="290" w:type="pct"/>
            <w:vMerge w:val="continue"/>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本项目生产规模没有变化，环保措施与环评批复相同，污染物排放量未增加</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5</w:t>
            </w:r>
          </w:p>
        </w:tc>
        <w:tc>
          <w:tcPr>
            <w:tcW w:w="2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地点</w:t>
            </w: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重新选址；在原厂址附近调整(包括总平面布置变化)导致环境防护距高范围变化且新增敏感点的。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本项目厂址内车间位置未发生变化</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6</w:t>
            </w:r>
          </w:p>
        </w:tc>
        <w:tc>
          <w:tcPr>
            <w:tcW w:w="290" w:type="pct"/>
            <w:vMerge w:val="restar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生产工艺</w:t>
            </w: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新增产品品种或生产工艺(含主要生产装置、设备及配套设施)、主要原辅材料、燃料变化,导致以下情形之一：</w:t>
            </w:r>
          </w:p>
          <w:p>
            <w:pPr>
              <w:adjustRightInd w:val="0"/>
              <w:snapToGrid w:val="0"/>
              <w:spacing w:before="72" w:beforeLines="30" w:after="72" w:afterLines="30" w:line="240" w:lineRule="auto"/>
              <w:ind w:firstLine="0" w:firstLineChars="0"/>
              <w:jc w:val="center"/>
              <w:rPr>
                <w:sz w:val="21"/>
                <w:szCs w:val="22"/>
              </w:rPr>
            </w:pPr>
            <w:r>
              <w:rPr>
                <w:sz w:val="21"/>
                <w:szCs w:val="22"/>
              </w:rPr>
              <w:t>（1）新增排放污染物种类的(毒性、挥发性降低的除外)；</w:t>
            </w:r>
          </w:p>
          <w:p>
            <w:pPr>
              <w:adjustRightInd w:val="0"/>
              <w:snapToGrid w:val="0"/>
              <w:spacing w:before="72" w:beforeLines="30" w:after="72" w:afterLines="30" w:line="240" w:lineRule="auto"/>
              <w:ind w:firstLine="0" w:firstLineChars="0"/>
              <w:jc w:val="center"/>
              <w:rPr>
                <w:sz w:val="21"/>
                <w:szCs w:val="22"/>
              </w:rPr>
            </w:pPr>
            <w:r>
              <w:rPr>
                <w:sz w:val="21"/>
                <w:szCs w:val="22"/>
              </w:rPr>
              <w:t>（2）位于环境质量不达标区的建设项目相应污染物排放量增加的；</w:t>
            </w:r>
          </w:p>
          <w:p>
            <w:pPr>
              <w:adjustRightInd w:val="0"/>
              <w:snapToGrid w:val="0"/>
              <w:spacing w:before="72" w:beforeLines="30" w:after="72" w:afterLines="30" w:line="240" w:lineRule="auto"/>
              <w:ind w:firstLine="0" w:firstLineChars="0"/>
              <w:jc w:val="center"/>
              <w:rPr>
                <w:sz w:val="21"/>
                <w:szCs w:val="22"/>
              </w:rPr>
            </w:pPr>
            <w:r>
              <w:rPr>
                <w:sz w:val="21"/>
                <w:szCs w:val="22"/>
              </w:rPr>
              <w:t>（3）废水第一类污染物排放量增加的；</w:t>
            </w:r>
          </w:p>
          <w:p>
            <w:pPr>
              <w:adjustRightInd w:val="0"/>
              <w:snapToGrid w:val="0"/>
              <w:spacing w:before="72" w:beforeLines="30" w:after="72" w:afterLines="30" w:line="240" w:lineRule="auto"/>
              <w:ind w:firstLine="0" w:firstLineChars="0"/>
              <w:jc w:val="center"/>
              <w:rPr>
                <w:sz w:val="21"/>
                <w:szCs w:val="22"/>
              </w:rPr>
            </w:pPr>
            <w:r>
              <w:rPr>
                <w:sz w:val="21"/>
                <w:szCs w:val="22"/>
              </w:rPr>
              <w:t>（4）其他污染物排放量增加10%及以上的。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本项目未新增产品品种。</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7</w:t>
            </w:r>
          </w:p>
        </w:tc>
        <w:tc>
          <w:tcPr>
            <w:tcW w:w="290" w:type="pct"/>
            <w:vMerge w:val="continue"/>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物料运输、装卸、贮存方式变化，导致大气污染物无组织排放量增加10%及以上的。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w:t>
            </w:r>
            <w:r>
              <w:rPr>
                <w:sz w:val="21"/>
                <w:szCs w:val="22"/>
              </w:rPr>
              <w:t>物料运输、装卸、贮存方式</w:t>
            </w:r>
            <w:r>
              <w:rPr>
                <w:rFonts w:hint="eastAsia"/>
                <w:sz w:val="21"/>
                <w:szCs w:val="22"/>
              </w:rPr>
              <w:t>未发生</w:t>
            </w:r>
            <w:r>
              <w:rPr>
                <w:sz w:val="21"/>
                <w:szCs w:val="22"/>
              </w:rPr>
              <w:t>变化</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8</w:t>
            </w:r>
          </w:p>
        </w:tc>
        <w:tc>
          <w:tcPr>
            <w:tcW w:w="290" w:type="pct"/>
            <w:vMerge w:val="restar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环境保护措施</w:t>
            </w: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废气、废水污染防治措施变化，导致第6条中所列情形之一</w:t>
            </w:r>
            <w:r>
              <w:rPr>
                <w:rFonts w:hint="eastAsia"/>
                <w:sz w:val="21"/>
                <w:szCs w:val="22"/>
              </w:rPr>
              <w:t>（</w:t>
            </w:r>
            <w:r>
              <w:rPr>
                <w:sz w:val="21"/>
                <w:szCs w:val="22"/>
              </w:rPr>
              <w:t>废气无组织排放改为有组织排放、污染防治措施强化或改进的除外</w:t>
            </w:r>
            <w:r>
              <w:rPr>
                <w:rFonts w:hint="eastAsia"/>
                <w:sz w:val="21"/>
                <w:szCs w:val="22"/>
              </w:rPr>
              <w:t>）</w:t>
            </w:r>
            <w:r>
              <w:rPr>
                <w:sz w:val="21"/>
                <w:szCs w:val="22"/>
              </w:rPr>
              <w:t>或大气污染物无组织排放量增加10%及以上的。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本项目废气、废水污染防治措施无变化</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9</w:t>
            </w:r>
          </w:p>
        </w:tc>
        <w:tc>
          <w:tcPr>
            <w:tcW w:w="290" w:type="pct"/>
            <w:vMerge w:val="continue"/>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新增废水直接排放口；废水由间接排放改为直接排放；废水直接排放口位置变化，导致不利环境影响加重的。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本项目仍旧依托厂内污水站处理后排入污水处理厂进行处理</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10</w:t>
            </w:r>
          </w:p>
        </w:tc>
        <w:tc>
          <w:tcPr>
            <w:tcW w:w="290" w:type="pct"/>
            <w:vMerge w:val="continue"/>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新增废气主要排放口(废气无组织排放改为有组织排放的除外)；主要排放口排气筒高度降低10%及以上的。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本项目未新增废气主要排放口</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11</w:t>
            </w:r>
          </w:p>
        </w:tc>
        <w:tc>
          <w:tcPr>
            <w:tcW w:w="290" w:type="pct"/>
            <w:vMerge w:val="continue"/>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噪声、土壤或地下水污染防治措施变化，导致不利环境影响加重的。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rFonts w:hint="eastAsia"/>
                <w:sz w:val="21"/>
                <w:szCs w:val="22"/>
              </w:rPr>
              <w:t>本项目噪声、地下水、土壤污染防治措施未发生变化</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12</w:t>
            </w:r>
          </w:p>
        </w:tc>
        <w:tc>
          <w:tcPr>
            <w:tcW w:w="290" w:type="pct"/>
            <w:vMerge w:val="continue"/>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固体废物利用处置方式由委托外单位利用处置改为自行利用处置的(自行利用处置设施单独开展环境影响评价的除外)固体废物自行处置方式变化，导致不利环境影响加重的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pPr>
            <w:r>
              <w:rPr>
                <w:rFonts w:hint="eastAsia"/>
                <w:sz w:val="21"/>
                <w:szCs w:val="22"/>
              </w:rPr>
              <w:t>本项目实际固废利用处置方式与环评基本一致（废墨盒、废油墨、废喷头清洗剂、废活性炭</w:t>
            </w:r>
            <w:r>
              <w:rPr>
                <w:sz w:val="21"/>
                <w:szCs w:val="22"/>
              </w:rPr>
              <w:t>等运至</w:t>
            </w:r>
            <w:r>
              <w:rPr>
                <w:rFonts w:hint="eastAsia"/>
                <w:bCs/>
                <w:sz w:val="21"/>
                <w:szCs w:val="21"/>
              </w:rPr>
              <w:t>阜新环发废弃物处置有限公司</w:t>
            </w:r>
            <w:r>
              <w:rPr>
                <w:sz w:val="21"/>
                <w:szCs w:val="21"/>
              </w:rPr>
              <w:t>处理</w:t>
            </w:r>
            <w:r>
              <w:rPr>
                <w:rFonts w:hint="eastAsia"/>
                <w:sz w:val="21"/>
                <w:szCs w:val="21"/>
              </w:rPr>
              <w:t>。</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6"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13</w:t>
            </w:r>
          </w:p>
        </w:tc>
        <w:tc>
          <w:tcPr>
            <w:tcW w:w="290" w:type="pct"/>
            <w:vMerge w:val="continue"/>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p>
        </w:tc>
        <w:tc>
          <w:tcPr>
            <w:tcW w:w="2590"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事故废水暂存能力或拦截设施变化导致环境风险防范能力弱化或降低的。</w:t>
            </w:r>
          </w:p>
        </w:tc>
        <w:tc>
          <w:tcPr>
            <w:tcW w:w="1504" w:type="pct"/>
            <w:tcBorders>
              <w:tl2br w:val="nil"/>
              <w:tr2bl w:val="nil"/>
            </w:tcBorders>
            <w:vAlign w:val="center"/>
          </w:tcPr>
          <w:p>
            <w:pPr>
              <w:adjustRightInd w:val="0"/>
              <w:snapToGrid w:val="0"/>
              <w:spacing w:before="72" w:beforeLines="30" w:after="72" w:afterLines="30" w:line="240" w:lineRule="auto"/>
              <w:ind w:firstLine="0" w:firstLineChars="0"/>
              <w:rPr>
                <w:sz w:val="21"/>
                <w:szCs w:val="22"/>
              </w:rPr>
            </w:pPr>
            <w:r>
              <w:rPr>
                <w:rFonts w:hint="eastAsia"/>
                <w:sz w:val="21"/>
                <w:szCs w:val="22"/>
              </w:rPr>
              <w:t>本项目无事故废水产生</w:t>
            </w:r>
          </w:p>
        </w:tc>
        <w:tc>
          <w:tcPr>
            <w:tcW w:w="389" w:type="pct"/>
            <w:tcBorders>
              <w:tl2br w:val="nil"/>
              <w:tr2bl w:val="nil"/>
            </w:tcBorders>
            <w:vAlign w:val="center"/>
          </w:tcPr>
          <w:p>
            <w:pPr>
              <w:adjustRightInd w:val="0"/>
              <w:snapToGrid w:val="0"/>
              <w:spacing w:before="72" w:beforeLines="30" w:after="72" w:afterLines="30" w:line="240" w:lineRule="auto"/>
              <w:ind w:firstLine="0" w:firstLineChars="0"/>
              <w:jc w:val="center"/>
              <w:rPr>
                <w:sz w:val="21"/>
                <w:szCs w:val="22"/>
              </w:rPr>
            </w:pPr>
            <w:r>
              <w:rPr>
                <w:sz w:val="21"/>
                <w:szCs w:val="22"/>
              </w:rPr>
              <w:t>不属于</w:t>
            </w:r>
          </w:p>
        </w:tc>
      </w:tr>
    </w:tbl>
    <w:p>
      <w:pPr>
        <w:pStyle w:val="6"/>
        <w:ind w:firstLine="0" w:firstLineChars="0"/>
      </w:pPr>
    </w:p>
    <w:p>
      <w:pPr>
        <w:ind w:firstLine="480"/>
      </w:pPr>
      <w:r>
        <w:t>该项目的主要建设内容、生产工艺、原辅材料、产能等实际建设内容和原环评、及批复基本一致，</w:t>
      </w:r>
      <w:r>
        <w:rPr>
          <w:rFonts w:hint="eastAsia"/>
        </w:rPr>
        <w:t>该</w:t>
      </w:r>
      <w:r>
        <w:t>项目无重大变更。</w:t>
      </w:r>
      <w:bookmarkStart w:id="127" w:name="_Toc791"/>
      <w:bookmarkStart w:id="128" w:name="_Toc320"/>
      <w:bookmarkStart w:id="129" w:name="_Toc8806"/>
      <w:bookmarkStart w:id="130" w:name="_Toc6839"/>
      <w:bookmarkStart w:id="131" w:name="_Toc47431942"/>
      <w:bookmarkStart w:id="132" w:name="_Toc26972"/>
      <w:r>
        <w:br w:type="page"/>
      </w:r>
    </w:p>
    <w:p>
      <w:pPr>
        <w:pStyle w:val="7"/>
      </w:pPr>
      <w:bookmarkStart w:id="133" w:name="_Toc24854"/>
      <w:r>
        <w:t>4  环境保护设施</w:t>
      </w:r>
      <w:bookmarkEnd w:id="127"/>
      <w:bookmarkEnd w:id="128"/>
      <w:bookmarkEnd w:id="129"/>
      <w:bookmarkEnd w:id="130"/>
      <w:bookmarkEnd w:id="131"/>
      <w:bookmarkEnd w:id="132"/>
      <w:bookmarkEnd w:id="133"/>
    </w:p>
    <w:p>
      <w:pPr>
        <w:pStyle w:val="8"/>
        <w:rPr>
          <w:color w:val="auto"/>
        </w:rPr>
      </w:pPr>
      <w:bookmarkStart w:id="134" w:name="_Toc17775"/>
      <w:bookmarkStart w:id="135" w:name="_Toc18651"/>
      <w:bookmarkStart w:id="136" w:name="_Toc25417"/>
      <w:bookmarkStart w:id="137" w:name="_Toc47431943"/>
      <w:bookmarkStart w:id="138" w:name="_Toc27404"/>
      <w:bookmarkStart w:id="139" w:name="_Toc14381"/>
      <w:bookmarkStart w:id="140" w:name="_Toc7719"/>
      <w:r>
        <w:rPr>
          <w:color w:val="auto"/>
        </w:rPr>
        <w:t>4.1  污染物治理/处置设施</w:t>
      </w:r>
      <w:bookmarkEnd w:id="134"/>
      <w:bookmarkEnd w:id="135"/>
      <w:bookmarkEnd w:id="136"/>
      <w:bookmarkEnd w:id="137"/>
      <w:bookmarkEnd w:id="138"/>
      <w:bookmarkEnd w:id="139"/>
      <w:bookmarkEnd w:id="140"/>
    </w:p>
    <w:p>
      <w:pPr>
        <w:pStyle w:val="9"/>
      </w:pPr>
      <w:bookmarkStart w:id="141" w:name="_Toc12740"/>
      <w:bookmarkStart w:id="142" w:name="_Toc12274"/>
      <w:bookmarkStart w:id="143" w:name="_Toc14618"/>
      <w:bookmarkStart w:id="144" w:name="_Toc31089"/>
      <w:bookmarkStart w:id="145" w:name="_Toc814"/>
      <w:r>
        <w:t>4.1.1  废气</w:t>
      </w:r>
      <w:bookmarkEnd w:id="141"/>
      <w:bookmarkEnd w:id="142"/>
      <w:bookmarkEnd w:id="143"/>
      <w:bookmarkEnd w:id="144"/>
      <w:bookmarkEnd w:id="145"/>
    </w:p>
    <w:p>
      <w:pPr>
        <w:ind w:firstLine="480"/>
      </w:pPr>
      <w:r>
        <w:rPr>
          <w:rFonts w:hint="eastAsia"/>
        </w:rPr>
        <w:t>本项目使用的彩喷油墨中含有挥发份，在打印、固化工序中会产生挥发性有机废气，主要污染因子为非甲烷总烃。</w:t>
      </w:r>
    </w:p>
    <w:p>
      <w:pPr>
        <w:ind w:firstLine="480"/>
      </w:pPr>
      <w:r>
        <w:rPr>
          <w:rFonts w:hint="eastAsia"/>
        </w:rPr>
        <w:t>彩喷机设置在专用密封罩中，为全封闭设计，每5台彩喷机设置在1个密闭罩，共有两个密闭罩收集有机废气</w:t>
      </w:r>
      <w:r>
        <w:rPr>
          <w:rFonts w:hint="eastAsia"/>
          <w:lang w:eastAsia="zh-CN"/>
        </w:rPr>
        <w:t>，</w:t>
      </w:r>
      <w:r>
        <w:rPr>
          <w:rFonts w:hint="eastAsia"/>
        </w:rPr>
        <w:t>经过</w:t>
      </w:r>
      <w:r>
        <w:rPr>
          <w:rFonts w:hint="eastAsia"/>
          <w:lang w:val="en-US" w:eastAsia="zh-CN"/>
        </w:rPr>
        <w:t>1套</w:t>
      </w:r>
      <w:r>
        <w:rPr>
          <w:rFonts w:hint="eastAsia"/>
          <w:szCs w:val="21"/>
          <w:lang w:val="en-US" w:eastAsia="zh-CN"/>
        </w:rPr>
        <w:t>两级串联活性炭吸附装置处理</w:t>
      </w:r>
      <w:r>
        <w:rPr>
          <w:rFonts w:hint="eastAsia"/>
        </w:rPr>
        <w:t>；危废间、油墨存储间全封闭设计</w:t>
      </w:r>
      <w:r>
        <w:rPr>
          <w:rFonts w:hint="eastAsia"/>
          <w:lang w:eastAsia="zh-CN"/>
        </w:rPr>
        <w:t>，</w:t>
      </w:r>
      <w:r>
        <w:rPr>
          <w:rFonts w:hint="eastAsia"/>
        </w:rPr>
        <w:t>其废气收集后经</w:t>
      </w:r>
      <w:r>
        <w:rPr>
          <w:rFonts w:hint="eastAsia"/>
          <w:lang w:val="en-US" w:eastAsia="zh-CN"/>
        </w:rPr>
        <w:t>1套</w:t>
      </w:r>
      <w:r>
        <w:rPr>
          <w:rFonts w:hint="eastAsia"/>
          <w:szCs w:val="21"/>
          <w:lang w:val="en-US" w:eastAsia="zh-CN"/>
        </w:rPr>
        <w:t>两级串联活性炭吸附装置处理</w:t>
      </w:r>
      <w:r>
        <w:rPr>
          <w:rFonts w:hint="eastAsia"/>
        </w:rPr>
        <w:t>，两股废气经过各自处理措施处理后统一由1根22m高排气筒有组织排放。在</w:t>
      </w:r>
      <w:r>
        <w:t>采取一系列治理措施后，本项目非甲烷总烃排放量满足</w:t>
      </w:r>
      <w:r>
        <w:rPr>
          <w:rFonts w:hint="eastAsia"/>
        </w:rPr>
        <w:t>《印刷业挥发性有机物排放标准》（DB21/3161-2019）、</w:t>
      </w:r>
      <w:r>
        <w:rPr>
          <w:rFonts w:hint="eastAsia" w:ascii="宋体" w:hAnsi="宋体"/>
        </w:rPr>
        <w:t>《挥发性有机物无组织排放控制标准》</w:t>
      </w:r>
      <w:r>
        <w:rPr>
          <w:rFonts w:hint="eastAsia"/>
        </w:rPr>
        <w:t>（</w:t>
      </w:r>
      <w:r>
        <w:t>GB37822-2019</w:t>
      </w:r>
      <w:r>
        <w:rPr>
          <w:rFonts w:hint="eastAsia"/>
        </w:rPr>
        <w:t>）</w:t>
      </w:r>
      <w:r>
        <w:t>。</w:t>
      </w:r>
      <w:r>
        <w:rPr>
          <w:rFonts w:hint="eastAsia"/>
        </w:rPr>
        <w:t>废气排放口设计参数见下表所示。</w:t>
      </w:r>
    </w:p>
    <w:p>
      <w:pPr>
        <w:pStyle w:val="2"/>
      </w:pPr>
    </w:p>
    <w:p>
      <w:pPr>
        <w:pStyle w:val="58"/>
      </w:pPr>
      <w:r>
        <w:t xml:space="preserve">表4.1-1                      </w:t>
      </w:r>
      <w:r>
        <w:rPr>
          <w:rFonts w:hint="eastAsia"/>
        </w:rPr>
        <w:t>排气筒</w:t>
      </w:r>
      <w:r>
        <w:t>参数表</w:t>
      </w:r>
    </w:p>
    <w:tbl>
      <w:tblPr>
        <w:tblStyle w:val="46"/>
        <w:tblW w:w="4998"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361"/>
        <w:gridCol w:w="2381"/>
        <w:gridCol w:w="2159"/>
        <w:gridCol w:w="940"/>
        <w:gridCol w:w="122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1" w:type="pct"/>
            <w:vMerge w:val="restart"/>
            <w:vAlign w:val="center"/>
          </w:tcPr>
          <w:p>
            <w:pPr>
              <w:pStyle w:val="56"/>
            </w:pPr>
            <w:r>
              <w:t>编号</w:t>
            </w:r>
          </w:p>
        </w:tc>
        <w:tc>
          <w:tcPr>
            <w:tcW w:w="756" w:type="pct"/>
            <w:vMerge w:val="restart"/>
            <w:vAlign w:val="center"/>
          </w:tcPr>
          <w:p>
            <w:pPr>
              <w:pStyle w:val="56"/>
            </w:pPr>
            <w:r>
              <w:t>名称</w:t>
            </w:r>
          </w:p>
        </w:tc>
        <w:tc>
          <w:tcPr>
            <w:tcW w:w="2521" w:type="pct"/>
            <w:gridSpan w:val="2"/>
            <w:vAlign w:val="center"/>
          </w:tcPr>
          <w:p>
            <w:pPr>
              <w:pStyle w:val="56"/>
            </w:pPr>
            <w:r>
              <w:rPr>
                <w:rFonts w:hint="eastAsia"/>
              </w:rPr>
              <w:t>排气筒底部中心坐标</w:t>
            </w:r>
          </w:p>
        </w:tc>
        <w:tc>
          <w:tcPr>
            <w:tcW w:w="522" w:type="pct"/>
            <w:vMerge w:val="restart"/>
            <w:vAlign w:val="center"/>
          </w:tcPr>
          <w:p>
            <w:pPr>
              <w:pStyle w:val="56"/>
            </w:pPr>
            <w:r>
              <w:t>排气筒高度/m</w:t>
            </w:r>
          </w:p>
        </w:tc>
        <w:tc>
          <w:tcPr>
            <w:tcW w:w="678" w:type="pct"/>
            <w:vMerge w:val="restart"/>
            <w:vAlign w:val="center"/>
          </w:tcPr>
          <w:p>
            <w:pPr>
              <w:pStyle w:val="56"/>
            </w:pPr>
            <w:r>
              <w:t>排气筒出口内径/m</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1" w:type="pct"/>
            <w:vMerge w:val="continue"/>
            <w:vAlign w:val="center"/>
          </w:tcPr>
          <w:p>
            <w:pPr>
              <w:pStyle w:val="56"/>
            </w:pPr>
          </w:p>
        </w:tc>
        <w:tc>
          <w:tcPr>
            <w:tcW w:w="756" w:type="pct"/>
            <w:vMerge w:val="continue"/>
            <w:vAlign w:val="center"/>
          </w:tcPr>
          <w:p>
            <w:pPr>
              <w:pStyle w:val="56"/>
            </w:pPr>
          </w:p>
        </w:tc>
        <w:tc>
          <w:tcPr>
            <w:tcW w:w="1322" w:type="pct"/>
            <w:vAlign w:val="center"/>
          </w:tcPr>
          <w:p>
            <w:pPr>
              <w:pStyle w:val="56"/>
            </w:pPr>
            <w:r>
              <w:rPr>
                <w:rFonts w:hint="eastAsia"/>
              </w:rPr>
              <w:t>东经</w:t>
            </w:r>
          </w:p>
        </w:tc>
        <w:tc>
          <w:tcPr>
            <w:tcW w:w="1199" w:type="pct"/>
            <w:vAlign w:val="center"/>
          </w:tcPr>
          <w:p>
            <w:pPr>
              <w:pStyle w:val="56"/>
            </w:pPr>
            <w:r>
              <w:rPr>
                <w:rFonts w:hint="eastAsia"/>
              </w:rPr>
              <w:t>北纬</w:t>
            </w:r>
          </w:p>
        </w:tc>
        <w:tc>
          <w:tcPr>
            <w:tcW w:w="522" w:type="pct"/>
            <w:vMerge w:val="continue"/>
            <w:vAlign w:val="center"/>
          </w:tcPr>
          <w:p>
            <w:pPr>
              <w:pStyle w:val="56"/>
            </w:pPr>
          </w:p>
        </w:tc>
        <w:tc>
          <w:tcPr>
            <w:tcW w:w="678" w:type="pct"/>
            <w:vMerge w:val="continue"/>
            <w:vAlign w:val="center"/>
          </w:tcPr>
          <w:p>
            <w:pPr>
              <w:pStyle w:val="56"/>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21" w:type="pct"/>
            <w:vAlign w:val="center"/>
          </w:tcPr>
          <w:p>
            <w:pPr>
              <w:pStyle w:val="56"/>
            </w:pPr>
            <w:r>
              <w:rPr>
                <w:rFonts w:hint="eastAsia"/>
              </w:rPr>
              <w:t>P</w:t>
            </w:r>
            <w:r>
              <w:t>1</w:t>
            </w:r>
          </w:p>
        </w:tc>
        <w:tc>
          <w:tcPr>
            <w:tcW w:w="756" w:type="pct"/>
            <w:vAlign w:val="center"/>
          </w:tcPr>
          <w:p>
            <w:pPr>
              <w:pStyle w:val="56"/>
            </w:pPr>
            <w:r>
              <w:rPr>
                <w:rFonts w:hint="eastAsia"/>
              </w:rPr>
              <w:t>彩喷、擦拭、存储</w:t>
            </w:r>
          </w:p>
        </w:tc>
        <w:tc>
          <w:tcPr>
            <w:tcW w:w="1322" w:type="pct"/>
            <w:vAlign w:val="center"/>
          </w:tcPr>
          <w:p>
            <w:pPr>
              <w:pStyle w:val="56"/>
            </w:pPr>
            <w:r>
              <w:t>123.473</w:t>
            </w:r>
            <w:r>
              <w:rPr>
                <w:rFonts w:hint="eastAsia"/>
              </w:rPr>
              <w:t>°</w:t>
            </w:r>
            <w:r>
              <w:t xml:space="preserve"> </w:t>
            </w:r>
          </w:p>
        </w:tc>
        <w:tc>
          <w:tcPr>
            <w:tcW w:w="1199" w:type="pct"/>
            <w:vAlign w:val="center"/>
          </w:tcPr>
          <w:p>
            <w:pPr>
              <w:pStyle w:val="56"/>
            </w:pPr>
            <w:r>
              <w:t>41.797</w:t>
            </w:r>
            <w:r>
              <w:rPr>
                <w:rFonts w:hint="eastAsia"/>
              </w:rPr>
              <w:t>°</w:t>
            </w:r>
          </w:p>
        </w:tc>
        <w:tc>
          <w:tcPr>
            <w:tcW w:w="522" w:type="pct"/>
            <w:vAlign w:val="center"/>
          </w:tcPr>
          <w:p>
            <w:pPr>
              <w:pStyle w:val="56"/>
            </w:pPr>
            <w:r>
              <w:t>22</w:t>
            </w:r>
          </w:p>
        </w:tc>
        <w:tc>
          <w:tcPr>
            <w:tcW w:w="678" w:type="pct"/>
            <w:vAlign w:val="center"/>
          </w:tcPr>
          <w:p>
            <w:pPr>
              <w:pStyle w:val="56"/>
            </w:pPr>
            <w:r>
              <w:rPr>
                <w:rFonts w:hint="eastAsia"/>
              </w:rPr>
              <w:t>0</w:t>
            </w:r>
            <w:r>
              <w:t>.6</w:t>
            </w:r>
          </w:p>
        </w:tc>
      </w:tr>
    </w:tbl>
    <w:p>
      <w:pPr>
        <w:pStyle w:val="3"/>
        <w:ind w:firstLine="170"/>
      </w:pPr>
    </w:p>
    <w:p>
      <w:pPr>
        <w:pStyle w:val="9"/>
        <w:keepNext w:val="0"/>
        <w:keepLines w:val="0"/>
      </w:pPr>
      <w:bookmarkStart w:id="146" w:name="_Toc22549"/>
      <w:bookmarkStart w:id="147" w:name="_Toc6014"/>
      <w:bookmarkStart w:id="148" w:name="_Toc3902"/>
      <w:bookmarkStart w:id="149" w:name="_Toc19285"/>
      <w:bookmarkStart w:id="150" w:name="_Toc11612"/>
      <w:bookmarkStart w:id="151" w:name="_Toc8049689"/>
      <w:bookmarkStart w:id="152" w:name="_Toc30032"/>
      <w:r>
        <w:t>4.1.2  废水</w:t>
      </w:r>
      <w:bookmarkEnd w:id="146"/>
      <w:bookmarkEnd w:id="147"/>
      <w:bookmarkEnd w:id="148"/>
      <w:bookmarkEnd w:id="149"/>
      <w:bookmarkEnd w:id="150"/>
    </w:p>
    <w:p>
      <w:pPr>
        <w:ind w:firstLine="480"/>
      </w:pPr>
      <w:r>
        <w:t>本项目生产不使用也不产生废水，因本项目生产工人由公司统一调配，本项目实施前后，该企业生产人员数量无变化，因此，项目实施前后，</w:t>
      </w:r>
      <w:r>
        <w:rPr>
          <w:rFonts w:hint="eastAsia"/>
        </w:rPr>
        <w:t>全厂</w:t>
      </w:r>
      <w:r>
        <w:t>职工生活废水(水质和水量)的产生、排放量不发生变化。</w:t>
      </w:r>
    </w:p>
    <w:p>
      <w:pPr>
        <w:ind w:firstLine="480"/>
      </w:pPr>
      <w:r>
        <w:t>本次验收时</w:t>
      </w:r>
      <w:r>
        <w:rPr>
          <w:rFonts w:hint="eastAsia"/>
        </w:rPr>
        <w:t>不</w:t>
      </w:r>
      <w:r>
        <w:t>涉及废水。</w:t>
      </w:r>
    </w:p>
    <w:bookmarkEnd w:id="151"/>
    <w:bookmarkEnd w:id="152"/>
    <w:p>
      <w:pPr>
        <w:pStyle w:val="9"/>
        <w:keepNext w:val="0"/>
        <w:keepLines w:val="0"/>
      </w:pPr>
      <w:bookmarkStart w:id="153" w:name="_Toc13850"/>
      <w:bookmarkStart w:id="154" w:name="_Toc25182"/>
      <w:bookmarkStart w:id="155" w:name="_Toc4822"/>
      <w:bookmarkStart w:id="156" w:name="_Toc1974"/>
      <w:bookmarkStart w:id="157" w:name="_Toc28241"/>
      <w:r>
        <w:t xml:space="preserve">4.1.3 </w:t>
      </w:r>
      <w:bookmarkEnd w:id="153"/>
      <w:bookmarkEnd w:id="154"/>
      <w:bookmarkEnd w:id="155"/>
      <w:bookmarkStart w:id="158" w:name="_Toc17164"/>
      <w:bookmarkStart w:id="159" w:name="_Toc6204"/>
      <w:bookmarkStart w:id="160" w:name="_Toc8049690"/>
      <w:bookmarkStart w:id="161" w:name="_Toc24078"/>
      <w:bookmarkStart w:id="162" w:name="_Toc7727"/>
      <w:r>
        <w:t xml:space="preserve"> 噪声</w:t>
      </w:r>
      <w:bookmarkEnd w:id="156"/>
      <w:bookmarkEnd w:id="157"/>
      <w:bookmarkEnd w:id="158"/>
      <w:bookmarkEnd w:id="159"/>
      <w:bookmarkEnd w:id="160"/>
      <w:bookmarkEnd w:id="161"/>
      <w:bookmarkEnd w:id="162"/>
    </w:p>
    <w:p>
      <w:pPr>
        <w:ind w:firstLine="480"/>
      </w:pPr>
      <w:r>
        <w:t>本项目运营期间主要噪声为生产设备运行产生的噪声，噪声值大约为75~80dB（A）。为降低该项目噪声对环境的影响，企业采取如下降噪措施：</w:t>
      </w:r>
      <w:r>
        <w:rPr>
          <w:rFonts w:hint="eastAsia"/>
        </w:rPr>
        <w:t>①</w:t>
      </w:r>
      <w:r>
        <w:t>对高噪声设备设置减振基座。</w:t>
      </w:r>
      <w:r>
        <w:rPr>
          <w:rFonts w:hint="eastAsia"/>
        </w:rPr>
        <w:t>②</w:t>
      </w:r>
      <w:r>
        <w:t>加强设备的维护，确保设备处于良好的运转状态，杜绝因设备不正常运转产生的高噪声现象。</w:t>
      </w:r>
    </w:p>
    <w:p>
      <w:pPr>
        <w:ind w:firstLine="480"/>
      </w:pPr>
      <w:r>
        <w:t>本项目运营后采取低噪声设备、安装</w:t>
      </w:r>
      <w:r>
        <w:rPr>
          <w:rFonts w:hint="eastAsia"/>
        </w:rPr>
        <w:t>减震基座</w:t>
      </w:r>
      <w:r>
        <w:t>等措施并经距离衰减后厂界噪声排放能达到《工业企业厂界环境噪声排放标准》（GB12348-2008）中2类及4类标准，项目产生的噪声对声环境的影响不大。</w:t>
      </w:r>
      <w:r>
        <w:rPr>
          <w:rFonts w:hint="eastAsia"/>
        </w:rPr>
        <w:t>本项目噪声源设计参数见下表所示。</w:t>
      </w:r>
    </w:p>
    <w:p>
      <w:pPr>
        <w:pStyle w:val="134"/>
        <w:rPr>
          <w:color w:val="auto"/>
        </w:rPr>
      </w:pPr>
    </w:p>
    <w:p>
      <w:pPr>
        <w:pStyle w:val="58"/>
      </w:pPr>
      <w:r>
        <w:t>表4.1-2                    主要设备产生噪声情况及防治措施</w:t>
      </w:r>
    </w:p>
    <w:tbl>
      <w:tblPr>
        <w:tblStyle w:val="151"/>
        <w:tblW w:w="0" w:type="auto"/>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93"/>
        <w:gridCol w:w="1694"/>
        <w:gridCol w:w="1080"/>
        <w:gridCol w:w="1351"/>
        <w:gridCol w:w="1686"/>
        <w:gridCol w:w="165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3" w:type="dxa"/>
            <w:vAlign w:val="center"/>
          </w:tcPr>
          <w:p>
            <w:pPr>
              <w:pStyle w:val="56"/>
            </w:pPr>
            <w:r>
              <w:t>设备名称</w:t>
            </w:r>
          </w:p>
        </w:tc>
        <w:tc>
          <w:tcPr>
            <w:tcW w:w="1694" w:type="dxa"/>
            <w:vAlign w:val="center"/>
          </w:tcPr>
          <w:p>
            <w:pPr>
              <w:pStyle w:val="56"/>
            </w:pPr>
            <w:r>
              <w:t>声压级[dB(A)]</w:t>
            </w:r>
          </w:p>
        </w:tc>
        <w:tc>
          <w:tcPr>
            <w:tcW w:w="1080" w:type="dxa"/>
            <w:vAlign w:val="center"/>
          </w:tcPr>
          <w:p>
            <w:pPr>
              <w:pStyle w:val="56"/>
            </w:pPr>
            <w:r>
              <w:t>数量</w:t>
            </w:r>
          </w:p>
        </w:tc>
        <w:tc>
          <w:tcPr>
            <w:tcW w:w="1351" w:type="dxa"/>
            <w:vAlign w:val="center"/>
          </w:tcPr>
          <w:p>
            <w:pPr>
              <w:pStyle w:val="56"/>
            </w:pPr>
            <w:r>
              <w:t>噪声特性</w:t>
            </w:r>
          </w:p>
        </w:tc>
        <w:tc>
          <w:tcPr>
            <w:tcW w:w="1686" w:type="dxa"/>
            <w:vAlign w:val="center"/>
          </w:tcPr>
          <w:p>
            <w:pPr>
              <w:pStyle w:val="56"/>
            </w:pPr>
            <w:r>
              <w:t>防治措施</w:t>
            </w:r>
          </w:p>
        </w:tc>
        <w:tc>
          <w:tcPr>
            <w:tcW w:w="1658" w:type="dxa"/>
            <w:vAlign w:val="center"/>
          </w:tcPr>
          <w:p>
            <w:pPr>
              <w:pStyle w:val="56"/>
            </w:pPr>
            <w:r>
              <w:t>位置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3" w:type="dxa"/>
            <w:vAlign w:val="center"/>
          </w:tcPr>
          <w:p>
            <w:pPr>
              <w:pStyle w:val="56"/>
            </w:pPr>
            <w:r>
              <w:t>彩喷机</w:t>
            </w:r>
          </w:p>
        </w:tc>
        <w:tc>
          <w:tcPr>
            <w:tcW w:w="1694" w:type="dxa"/>
            <w:vAlign w:val="center"/>
          </w:tcPr>
          <w:p>
            <w:pPr>
              <w:pStyle w:val="56"/>
            </w:pPr>
            <w:r>
              <w:t>75</w:t>
            </w:r>
          </w:p>
        </w:tc>
        <w:tc>
          <w:tcPr>
            <w:tcW w:w="1080" w:type="dxa"/>
            <w:vAlign w:val="center"/>
          </w:tcPr>
          <w:p>
            <w:pPr>
              <w:pStyle w:val="56"/>
            </w:pPr>
            <w:r>
              <w:t>10台</w:t>
            </w:r>
          </w:p>
        </w:tc>
        <w:tc>
          <w:tcPr>
            <w:tcW w:w="1351" w:type="dxa"/>
            <w:vAlign w:val="center"/>
          </w:tcPr>
          <w:p>
            <w:pPr>
              <w:pStyle w:val="56"/>
            </w:pPr>
            <w:r>
              <w:t>连续</w:t>
            </w:r>
          </w:p>
        </w:tc>
        <w:tc>
          <w:tcPr>
            <w:tcW w:w="1686" w:type="dxa"/>
            <w:vAlign w:val="center"/>
          </w:tcPr>
          <w:p>
            <w:pPr>
              <w:pStyle w:val="56"/>
            </w:pPr>
            <w:r>
              <w:t>隔声、减振</w:t>
            </w:r>
          </w:p>
        </w:tc>
        <w:tc>
          <w:tcPr>
            <w:tcW w:w="1658" w:type="dxa"/>
            <w:vAlign w:val="center"/>
          </w:tcPr>
          <w:p>
            <w:pPr>
              <w:pStyle w:val="56"/>
            </w:pPr>
            <w:r>
              <w:t>生产车间内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93" w:type="dxa"/>
            <w:vAlign w:val="center"/>
          </w:tcPr>
          <w:p>
            <w:pPr>
              <w:pStyle w:val="56"/>
            </w:pPr>
            <w:r>
              <w:rPr>
                <w:rFonts w:hint="eastAsia"/>
              </w:rPr>
              <w:t>配套风机</w:t>
            </w:r>
          </w:p>
        </w:tc>
        <w:tc>
          <w:tcPr>
            <w:tcW w:w="1694" w:type="dxa"/>
            <w:vAlign w:val="center"/>
          </w:tcPr>
          <w:p>
            <w:pPr>
              <w:pStyle w:val="56"/>
            </w:pPr>
            <w:r>
              <w:rPr>
                <w:rFonts w:hint="eastAsia"/>
              </w:rPr>
              <w:t>8</w:t>
            </w:r>
            <w:r>
              <w:t>0</w:t>
            </w:r>
          </w:p>
        </w:tc>
        <w:tc>
          <w:tcPr>
            <w:tcW w:w="1080" w:type="dxa"/>
            <w:vAlign w:val="center"/>
          </w:tcPr>
          <w:p>
            <w:pPr>
              <w:pStyle w:val="56"/>
            </w:pPr>
            <w:r>
              <w:rPr>
                <w:rFonts w:hint="eastAsia"/>
              </w:rPr>
              <w:t>4台</w:t>
            </w:r>
          </w:p>
        </w:tc>
        <w:tc>
          <w:tcPr>
            <w:tcW w:w="1351" w:type="dxa"/>
            <w:vAlign w:val="center"/>
          </w:tcPr>
          <w:p>
            <w:pPr>
              <w:pStyle w:val="56"/>
            </w:pPr>
            <w:r>
              <w:t>连续</w:t>
            </w:r>
          </w:p>
        </w:tc>
        <w:tc>
          <w:tcPr>
            <w:tcW w:w="1686" w:type="dxa"/>
            <w:vAlign w:val="center"/>
          </w:tcPr>
          <w:p>
            <w:pPr>
              <w:pStyle w:val="56"/>
            </w:pPr>
            <w:r>
              <w:t>隔声、减振</w:t>
            </w:r>
          </w:p>
        </w:tc>
        <w:tc>
          <w:tcPr>
            <w:tcW w:w="1658" w:type="dxa"/>
            <w:vAlign w:val="center"/>
          </w:tcPr>
          <w:p>
            <w:pPr>
              <w:pStyle w:val="56"/>
            </w:pPr>
            <w:r>
              <w:t>生产车间内</w:t>
            </w:r>
          </w:p>
        </w:tc>
      </w:tr>
    </w:tbl>
    <w:p>
      <w:pPr>
        <w:pStyle w:val="134"/>
        <w:rPr>
          <w:color w:val="auto"/>
        </w:rPr>
      </w:pPr>
    </w:p>
    <w:p>
      <w:pPr>
        <w:pStyle w:val="9"/>
        <w:keepNext w:val="0"/>
        <w:keepLines w:val="0"/>
      </w:pPr>
      <w:bookmarkStart w:id="163" w:name="_Toc28498"/>
      <w:bookmarkStart w:id="164" w:name="_Toc15419"/>
      <w:bookmarkStart w:id="165" w:name="_Toc17442"/>
      <w:bookmarkStart w:id="166" w:name="_Toc23984"/>
      <w:bookmarkStart w:id="167" w:name="_Toc7495"/>
      <w:r>
        <w:t>4.1.4  固废</w:t>
      </w:r>
      <w:bookmarkEnd w:id="163"/>
      <w:bookmarkEnd w:id="164"/>
      <w:bookmarkEnd w:id="165"/>
      <w:bookmarkEnd w:id="166"/>
      <w:bookmarkEnd w:id="167"/>
    </w:p>
    <w:p>
      <w:pPr>
        <w:ind w:firstLine="480"/>
      </w:pPr>
      <w:bookmarkStart w:id="168" w:name="_Toc11416"/>
      <w:bookmarkStart w:id="169" w:name="_Toc5838"/>
      <w:bookmarkStart w:id="170" w:name="_Toc17849"/>
      <w:bookmarkStart w:id="171" w:name="_Toc32184"/>
      <w:bookmarkStart w:id="172" w:name="_Toc47431945"/>
      <w:bookmarkStart w:id="173" w:name="_Toc3998"/>
      <w:r>
        <w:t>项目产生的固体废弃物包括一般废弃物和危险废物。一般废弃物主要是废包装材料等，收集后送回收单位处理。废</w:t>
      </w:r>
      <w:r>
        <w:rPr>
          <w:rFonts w:hint="eastAsia"/>
        </w:rPr>
        <w:t>油墨</w:t>
      </w:r>
      <w:r>
        <w:t>桶</w:t>
      </w:r>
      <w:r>
        <w:rPr>
          <w:rFonts w:hint="eastAsia"/>
        </w:rPr>
        <w:t>、</w:t>
      </w:r>
      <w:r>
        <w:t>废活性炭</w:t>
      </w:r>
      <w:r>
        <w:rPr>
          <w:rFonts w:hint="eastAsia"/>
        </w:rPr>
        <w:t>、废擦拭抹布、废油墨、废清洗剂</w:t>
      </w:r>
      <w:r>
        <w:t>由</w:t>
      </w:r>
      <w:r>
        <w:rPr>
          <w:rFonts w:hint="eastAsia"/>
          <w:kern w:val="0"/>
        </w:rPr>
        <w:t>有资质单位</w:t>
      </w:r>
      <w:r>
        <w:rPr>
          <w:kern w:val="0"/>
        </w:rPr>
        <w:t>处理</w:t>
      </w:r>
      <w:r>
        <w:rPr>
          <w:rFonts w:hint="eastAsia"/>
          <w:kern w:val="0"/>
        </w:rPr>
        <w:t>。危废暂存间为新建，位于厂房内。</w:t>
      </w:r>
      <w:r>
        <w:t>本项目固体废物经分类妥善处理后，不产生二次污染，对周围环境影响较小。</w:t>
      </w:r>
      <w:r>
        <w:rPr>
          <w:rFonts w:hint="eastAsia"/>
        </w:rPr>
        <w:t>本项目固废产生量设计参数见下表所示。</w:t>
      </w:r>
    </w:p>
    <w:p>
      <w:pPr>
        <w:pStyle w:val="58"/>
      </w:pPr>
      <w:r>
        <w:t>表4.1-3                            固体废物产生情况</w:t>
      </w:r>
    </w:p>
    <w:tbl>
      <w:tblPr>
        <w:tblStyle w:val="47"/>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57" w:type="dxa"/>
          <w:bottom w:w="0" w:type="dxa"/>
          <w:right w:w="28" w:type="dxa"/>
        </w:tblCellMar>
      </w:tblPr>
      <w:tblGrid>
        <w:gridCol w:w="452"/>
        <w:gridCol w:w="1082"/>
        <w:gridCol w:w="645"/>
        <w:gridCol w:w="1065"/>
        <w:gridCol w:w="676"/>
        <w:gridCol w:w="1163"/>
        <w:gridCol w:w="767"/>
        <w:gridCol w:w="767"/>
        <w:gridCol w:w="805"/>
        <w:gridCol w:w="145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0" w:type="auto"/>
            <w:vAlign w:val="center"/>
          </w:tcPr>
          <w:p>
            <w:pPr>
              <w:pStyle w:val="56"/>
              <w:spacing w:before="5" w:after="5"/>
            </w:pPr>
            <w:r>
              <w:rPr>
                <w:rFonts w:hint="eastAsia"/>
              </w:rPr>
              <w:t>序号</w:t>
            </w:r>
          </w:p>
        </w:tc>
        <w:tc>
          <w:tcPr>
            <w:tcW w:w="0" w:type="auto"/>
            <w:vAlign w:val="center"/>
          </w:tcPr>
          <w:p>
            <w:pPr>
              <w:pStyle w:val="56"/>
              <w:spacing w:before="5" w:after="5"/>
            </w:pPr>
            <w:r>
              <w:rPr>
                <w:rFonts w:hint="eastAsia"/>
              </w:rPr>
              <w:t>名称</w:t>
            </w:r>
          </w:p>
        </w:tc>
        <w:tc>
          <w:tcPr>
            <w:tcW w:w="0" w:type="auto"/>
            <w:vAlign w:val="center"/>
          </w:tcPr>
          <w:p>
            <w:pPr>
              <w:pStyle w:val="56"/>
              <w:spacing w:before="5" w:after="5"/>
            </w:pPr>
            <w:r>
              <w:rPr>
                <w:rFonts w:hint="eastAsia"/>
              </w:rPr>
              <w:t>类别</w:t>
            </w:r>
          </w:p>
        </w:tc>
        <w:tc>
          <w:tcPr>
            <w:tcW w:w="0" w:type="auto"/>
            <w:vAlign w:val="center"/>
          </w:tcPr>
          <w:p>
            <w:pPr>
              <w:pStyle w:val="56"/>
              <w:spacing w:before="5" w:after="5"/>
            </w:pPr>
            <w:r>
              <w:rPr>
                <w:rFonts w:hint="eastAsia"/>
              </w:rPr>
              <w:t>代码</w:t>
            </w:r>
          </w:p>
        </w:tc>
        <w:tc>
          <w:tcPr>
            <w:tcW w:w="0" w:type="auto"/>
            <w:vAlign w:val="center"/>
          </w:tcPr>
          <w:p>
            <w:pPr>
              <w:pStyle w:val="56"/>
              <w:spacing w:before="5" w:after="5"/>
            </w:pPr>
            <w:r>
              <w:rPr>
                <w:rFonts w:hint="eastAsia"/>
              </w:rPr>
              <w:t>产生量</w:t>
            </w:r>
          </w:p>
        </w:tc>
        <w:tc>
          <w:tcPr>
            <w:tcW w:w="0" w:type="auto"/>
            <w:vAlign w:val="center"/>
          </w:tcPr>
          <w:p>
            <w:pPr>
              <w:pStyle w:val="56"/>
              <w:spacing w:before="5" w:after="5"/>
            </w:pPr>
            <w:r>
              <w:rPr>
                <w:rFonts w:hint="eastAsia"/>
              </w:rPr>
              <w:t>调试期产生量</w:t>
            </w:r>
          </w:p>
        </w:tc>
        <w:tc>
          <w:tcPr>
            <w:tcW w:w="0" w:type="auto"/>
            <w:vAlign w:val="center"/>
          </w:tcPr>
          <w:p>
            <w:pPr>
              <w:pStyle w:val="56"/>
              <w:spacing w:before="5" w:after="5"/>
            </w:pPr>
            <w:r>
              <w:rPr>
                <w:rFonts w:hint="eastAsia"/>
              </w:rPr>
              <w:t>产生工序</w:t>
            </w:r>
          </w:p>
        </w:tc>
        <w:tc>
          <w:tcPr>
            <w:tcW w:w="0" w:type="auto"/>
            <w:vAlign w:val="center"/>
          </w:tcPr>
          <w:p>
            <w:pPr>
              <w:pStyle w:val="56"/>
              <w:spacing w:before="5" w:after="5"/>
            </w:pPr>
            <w:r>
              <w:rPr>
                <w:rFonts w:hint="eastAsia"/>
              </w:rPr>
              <w:t>产废周期</w:t>
            </w:r>
          </w:p>
        </w:tc>
        <w:tc>
          <w:tcPr>
            <w:tcW w:w="0" w:type="auto"/>
            <w:vAlign w:val="center"/>
          </w:tcPr>
          <w:p>
            <w:pPr>
              <w:pStyle w:val="56"/>
              <w:spacing w:before="5" w:after="5"/>
            </w:pPr>
            <w:r>
              <w:rPr>
                <w:rFonts w:hint="eastAsia"/>
              </w:rPr>
              <w:t>危险特性</w:t>
            </w:r>
          </w:p>
        </w:tc>
        <w:tc>
          <w:tcPr>
            <w:tcW w:w="0" w:type="auto"/>
            <w:vAlign w:val="center"/>
          </w:tcPr>
          <w:p>
            <w:pPr>
              <w:pStyle w:val="56"/>
              <w:spacing w:before="5" w:after="5"/>
            </w:pPr>
            <w:r>
              <w:rPr>
                <w:rFonts w:hint="eastAsia"/>
              </w:rPr>
              <w:t>防治措施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0" w:type="auto"/>
            <w:vAlign w:val="center"/>
          </w:tcPr>
          <w:p>
            <w:pPr>
              <w:pStyle w:val="56"/>
              <w:spacing w:before="5" w:after="5"/>
            </w:pPr>
            <w:r>
              <w:rPr>
                <w:rFonts w:hint="eastAsia"/>
              </w:rPr>
              <w:t>1</w:t>
            </w:r>
          </w:p>
        </w:tc>
        <w:tc>
          <w:tcPr>
            <w:tcW w:w="0" w:type="auto"/>
            <w:vAlign w:val="center"/>
          </w:tcPr>
          <w:p>
            <w:pPr>
              <w:pStyle w:val="56"/>
              <w:spacing w:before="5" w:after="5"/>
            </w:pPr>
            <w:r>
              <w:rPr>
                <w:rFonts w:hint="eastAsia"/>
              </w:rPr>
              <w:t>废墨盒</w:t>
            </w:r>
          </w:p>
        </w:tc>
        <w:tc>
          <w:tcPr>
            <w:tcW w:w="0" w:type="auto"/>
            <w:vAlign w:val="center"/>
          </w:tcPr>
          <w:p>
            <w:pPr>
              <w:pStyle w:val="56"/>
              <w:spacing w:before="5" w:after="5"/>
            </w:pPr>
            <w:r>
              <w:rPr>
                <w:rFonts w:hint="eastAsia"/>
              </w:rPr>
              <w:t>HW49</w:t>
            </w:r>
          </w:p>
        </w:tc>
        <w:tc>
          <w:tcPr>
            <w:tcW w:w="0" w:type="auto"/>
            <w:vAlign w:val="center"/>
          </w:tcPr>
          <w:p>
            <w:pPr>
              <w:pStyle w:val="56"/>
              <w:spacing w:before="5" w:after="5"/>
            </w:pPr>
            <w:r>
              <w:rPr>
                <w:rFonts w:hint="eastAsia"/>
              </w:rPr>
              <w:t>900-041-49</w:t>
            </w:r>
          </w:p>
        </w:tc>
        <w:tc>
          <w:tcPr>
            <w:tcW w:w="0" w:type="auto"/>
            <w:vAlign w:val="center"/>
          </w:tcPr>
          <w:p>
            <w:pPr>
              <w:pStyle w:val="56"/>
              <w:spacing w:before="5" w:after="5"/>
            </w:pPr>
            <w:r>
              <w:t>1.5t/a</w:t>
            </w:r>
          </w:p>
        </w:tc>
        <w:tc>
          <w:tcPr>
            <w:tcW w:w="0" w:type="auto"/>
            <w:vAlign w:val="center"/>
          </w:tcPr>
          <w:p>
            <w:pPr>
              <w:pStyle w:val="56"/>
              <w:spacing w:before="5" w:after="5"/>
            </w:pPr>
            <w:r>
              <w:rPr>
                <w:rFonts w:hint="eastAsia"/>
              </w:rPr>
              <w:t>0</w:t>
            </w:r>
            <w:r>
              <w:t>.005</w:t>
            </w:r>
            <w:r>
              <w:rPr>
                <w:rFonts w:hint="eastAsia"/>
              </w:rPr>
              <w:t>t</w:t>
            </w:r>
          </w:p>
        </w:tc>
        <w:tc>
          <w:tcPr>
            <w:tcW w:w="0" w:type="auto"/>
            <w:vAlign w:val="center"/>
          </w:tcPr>
          <w:p>
            <w:pPr>
              <w:pStyle w:val="56"/>
              <w:spacing w:before="5" w:after="5"/>
            </w:pPr>
            <w:r>
              <w:rPr>
                <w:rFonts w:hint="eastAsia"/>
              </w:rPr>
              <w:t>生产</w:t>
            </w:r>
          </w:p>
        </w:tc>
        <w:tc>
          <w:tcPr>
            <w:tcW w:w="0" w:type="auto"/>
            <w:vAlign w:val="center"/>
          </w:tcPr>
          <w:p>
            <w:pPr>
              <w:pStyle w:val="56"/>
              <w:spacing w:before="5" w:after="5"/>
            </w:pPr>
            <w:r>
              <w:rPr>
                <w:rFonts w:hint="eastAsia"/>
              </w:rPr>
              <w:t>2年</w:t>
            </w:r>
          </w:p>
        </w:tc>
        <w:tc>
          <w:tcPr>
            <w:tcW w:w="0" w:type="auto"/>
            <w:vAlign w:val="center"/>
          </w:tcPr>
          <w:p>
            <w:pPr>
              <w:pStyle w:val="56"/>
              <w:spacing w:before="5" w:after="5"/>
            </w:pPr>
            <w:r>
              <w:rPr>
                <w:rStyle w:val="109"/>
                <w:rFonts w:cstheme="minorBidi"/>
                <w:b w:val="0"/>
                <w:bCs w:val="0"/>
                <w:color w:val="auto"/>
                <w:sz w:val="21"/>
                <w:szCs w:val="22"/>
              </w:rPr>
              <w:t>T/In</w:t>
            </w:r>
          </w:p>
        </w:tc>
        <w:tc>
          <w:tcPr>
            <w:tcW w:w="0" w:type="auto"/>
            <w:vAlign w:val="center"/>
          </w:tcPr>
          <w:p>
            <w:pPr>
              <w:pStyle w:val="56"/>
              <w:spacing w:before="5" w:after="5"/>
            </w:pPr>
            <w:r>
              <w:rPr>
                <w:rFonts w:hint="eastAsia"/>
              </w:rPr>
              <w:t>托盘，危废间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0" w:type="auto"/>
            <w:vAlign w:val="center"/>
          </w:tcPr>
          <w:p>
            <w:pPr>
              <w:pStyle w:val="56"/>
              <w:spacing w:before="5" w:after="5"/>
            </w:pPr>
            <w:r>
              <w:rPr>
                <w:rFonts w:hint="eastAsia"/>
              </w:rPr>
              <w:t>2</w:t>
            </w:r>
          </w:p>
        </w:tc>
        <w:tc>
          <w:tcPr>
            <w:tcW w:w="0" w:type="auto"/>
            <w:vAlign w:val="center"/>
          </w:tcPr>
          <w:p>
            <w:pPr>
              <w:pStyle w:val="56"/>
              <w:spacing w:before="5" w:after="5"/>
            </w:pPr>
            <w:r>
              <w:t>废活性炭</w:t>
            </w:r>
          </w:p>
        </w:tc>
        <w:tc>
          <w:tcPr>
            <w:tcW w:w="0" w:type="auto"/>
            <w:vAlign w:val="center"/>
          </w:tcPr>
          <w:p>
            <w:pPr>
              <w:pStyle w:val="56"/>
              <w:spacing w:before="5" w:after="5"/>
            </w:pPr>
            <w:r>
              <w:rPr>
                <w:rFonts w:hint="eastAsia"/>
              </w:rPr>
              <w:t>HW49</w:t>
            </w:r>
          </w:p>
        </w:tc>
        <w:tc>
          <w:tcPr>
            <w:tcW w:w="0" w:type="auto"/>
            <w:vAlign w:val="center"/>
          </w:tcPr>
          <w:p>
            <w:pPr>
              <w:pStyle w:val="56"/>
              <w:spacing w:before="5" w:after="5"/>
            </w:pPr>
            <w:r>
              <w:rPr>
                <w:rFonts w:hint="eastAsia"/>
              </w:rPr>
              <w:t>900-041-49</w:t>
            </w:r>
          </w:p>
        </w:tc>
        <w:tc>
          <w:tcPr>
            <w:tcW w:w="0" w:type="auto"/>
            <w:vAlign w:val="center"/>
          </w:tcPr>
          <w:p>
            <w:pPr>
              <w:pStyle w:val="56"/>
              <w:spacing w:before="5" w:after="5"/>
            </w:pPr>
            <w:r>
              <w:t>3.3t/a</w:t>
            </w:r>
          </w:p>
        </w:tc>
        <w:tc>
          <w:tcPr>
            <w:tcW w:w="0" w:type="auto"/>
            <w:vAlign w:val="center"/>
          </w:tcPr>
          <w:p>
            <w:pPr>
              <w:pStyle w:val="56"/>
              <w:spacing w:before="5" w:after="5"/>
            </w:pPr>
            <w:r>
              <w:rPr>
                <w:rFonts w:hint="eastAsia"/>
              </w:rPr>
              <w:t>0</w:t>
            </w:r>
          </w:p>
        </w:tc>
        <w:tc>
          <w:tcPr>
            <w:tcW w:w="0" w:type="auto"/>
            <w:vAlign w:val="center"/>
          </w:tcPr>
          <w:p>
            <w:pPr>
              <w:pStyle w:val="56"/>
              <w:spacing w:before="5" w:after="5"/>
            </w:pPr>
            <w:r>
              <w:rPr>
                <w:rFonts w:hint="eastAsia"/>
              </w:rPr>
              <w:t>环保设施</w:t>
            </w:r>
          </w:p>
        </w:tc>
        <w:tc>
          <w:tcPr>
            <w:tcW w:w="0" w:type="auto"/>
            <w:vAlign w:val="center"/>
          </w:tcPr>
          <w:p>
            <w:pPr>
              <w:pStyle w:val="56"/>
              <w:spacing w:before="5" w:after="5"/>
            </w:pPr>
            <w:r>
              <w:t>3</w:t>
            </w:r>
            <w:r>
              <w:rPr>
                <w:rFonts w:hint="eastAsia"/>
              </w:rPr>
              <w:t>年</w:t>
            </w:r>
          </w:p>
        </w:tc>
        <w:tc>
          <w:tcPr>
            <w:tcW w:w="0" w:type="auto"/>
            <w:vAlign w:val="center"/>
          </w:tcPr>
          <w:p>
            <w:pPr>
              <w:pStyle w:val="56"/>
              <w:spacing w:before="5" w:after="5"/>
            </w:pPr>
            <w:r>
              <w:rPr>
                <w:rStyle w:val="109"/>
                <w:rFonts w:cstheme="minorBidi"/>
                <w:b w:val="0"/>
                <w:bCs w:val="0"/>
                <w:color w:val="auto"/>
                <w:sz w:val="21"/>
                <w:szCs w:val="22"/>
              </w:rPr>
              <w:t>T/In</w:t>
            </w:r>
          </w:p>
        </w:tc>
        <w:tc>
          <w:tcPr>
            <w:tcW w:w="0" w:type="auto"/>
            <w:vAlign w:val="center"/>
          </w:tcPr>
          <w:p>
            <w:pPr>
              <w:pStyle w:val="56"/>
              <w:spacing w:before="5" w:after="5"/>
            </w:pPr>
            <w:r>
              <w:rPr>
                <w:rFonts w:hint="eastAsia"/>
              </w:rPr>
              <w:t>托盘，危废间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0" w:type="auto"/>
            <w:vAlign w:val="center"/>
          </w:tcPr>
          <w:p>
            <w:pPr>
              <w:pStyle w:val="56"/>
              <w:spacing w:before="5" w:after="5"/>
            </w:pPr>
            <w:r>
              <w:rPr>
                <w:rFonts w:hint="eastAsia"/>
              </w:rPr>
              <w:t>3</w:t>
            </w:r>
          </w:p>
        </w:tc>
        <w:tc>
          <w:tcPr>
            <w:tcW w:w="0" w:type="auto"/>
            <w:vAlign w:val="center"/>
          </w:tcPr>
          <w:p>
            <w:pPr>
              <w:pStyle w:val="56"/>
              <w:spacing w:before="5" w:after="5"/>
            </w:pPr>
            <w:r>
              <w:t>废擦拭抹布</w:t>
            </w:r>
          </w:p>
        </w:tc>
        <w:tc>
          <w:tcPr>
            <w:tcW w:w="0" w:type="auto"/>
            <w:vAlign w:val="center"/>
          </w:tcPr>
          <w:p>
            <w:pPr>
              <w:pStyle w:val="56"/>
              <w:spacing w:before="5" w:after="5"/>
            </w:pPr>
            <w:r>
              <w:rPr>
                <w:rFonts w:hint="eastAsia"/>
              </w:rPr>
              <w:t>HW49</w:t>
            </w:r>
          </w:p>
        </w:tc>
        <w:tc>
          <w:tcPr>
            <w:tcW w:w="0" w:type="auto"/>
            <w:vAlign w:val="center"/>
          </w:tcPr>
          <w:p>
            <w:pPr>
              <w:pStyle w:val="56"/>
              <w:spacing w:before="5" w:after="5"/>
            </w:pPr>
            <w:r>
              <w:rPr>
                <w:rFonts w:hint="eastAsia"/>
              </w:rPr>
              <w:t>900-041-49</w:t>
            </w:r>
          </w:p>
        </w:tc>
        <w:tc>
          <w:tcPr>
            <w:tcW w:w="0" w:type="auto"/>
            <w:vAlign w:val="center"/>
          </w:tcPr>
          <w:p>
            <w:pPr>
              <w:pStyle w:val="56"/>
              <w:spacing w:before="5" w:after="5"/>
            </w:pPr>
            <w:r>
              <w:t>0.1t/a</w:t>
            </w:r>
          </w:p>
        </w:tc>
        <w:tc>
          <w:tcPr>
            <w:tcW w:w="0" w:type="auto"/>
            <w:vAlign w:val="center"/>
          </w:tcPr>
          <w:p>
            <w:pPr>
              <w:pStyle w:val="56"/>
              <w:spacing w:before="5" w:after="5"/>
            </w:pPr>
            <w:r>
              <w:rPr>
                <w:rFonts w:hint="eastAsia"/>
              </w:rPr>
              <w:t>0</w:t>
            </w:r>
            <w:r>
              <w:t>.001</w:t>
            </w:r>
            <w:r>
              <w:rPr>
                <w:rFonts w:hint="eastAsia"/>
              </w:rPr>
              <w:t>t</w:t>
            </w:r>
          </w:p>
        </w:tc>
        <w:tc>
          <w:tcPr>
            <w:tcW w:w="0" w:type="auto"/>
            <w:vAlign w:val="center"/>
          </w:tcPr>
          <w:p>
            <w:pPr>
              <w:pStyle w:val="56"/>
              <w:spacing w:before="5" w:after="5"/>
            </w:pPr>
            <w:r>
              <w:rPr>
                <w:rFonts w:hint="eastAsia"/>
              </w:rPr>
              <w:t>设备保养</w:t>
            </w:r>
          </w:p>
        </w:tc>
        <w:tc>
          <w:tcPr>
            <w:tcW w:w="0" w:type="auto"/>
            <w:vAlign w:val="center"/>
          </w:tcPr>
          <w:p>
            <w:pPr>
              <w:pStyle w:val="56"/>
              <w:spacing w:before="5" w:after="5"/>
            </w:pPr>
            <w:r>
              <w:t>3</w:t>
            </w:r>
            <w:r>
              <w:rPr>
                <w:rFonts w:hint="eastAsia"/>
              </w:rPr>
              <w:t>年</w:t>
            </w:r>
          </w:p>
        </w:tc>
        <w:tc>
          <w:tcPr>
            <w:tcW w:w="0" w:type="auto"/>
            <w:vAlign w:val="center"/>
          </w:tcPr>
          <w:p>
            <w:pPr>
              <w:pStyle w:val="56"/>
              <w:spacing w:before="5" w:after="5"/>
            </w:pPr>
            <w:r>
              <w:rPr>
                <w:rStyle w:val="109"/>
                <w:rFonts w:cstheme="minorBidi"/>
                <w:b w:val="0"/>
                <w:bCs w:val="0"/>
                <w:color w:val="auto"/>
                <w:sz w:val="21"/>
                <w:szCs w:val="22"/>
              </w:rPr>
              <w:t>T/In</w:t>
            </w:r>
          </w:p>
        </w:tc>
        <w:tc>
          <w:tcPr>
            <w:tcW w:w="0" w:type="auto"/>
            <w:vAlign w:val="center"/>
          </w:tcPr>
          <w:p>
            <w:pPr>
              <w:pStyle w:val="56"/>
              <w:spacing w:before="5" w:after="5"/>
            </w:pPr>
            <w:r>
              <w:rPr>
                <w:rFonts w:hint="eastAsia"/>
              </w:rPr>
              <w:t>托盘，危废间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0" w:type="auto"/>
            <w:vAlign w:val="center"/>
          </w:tcPr>
          <w:p>
            <w:pPr>
              <w:pStyle w:val="56"/>
              <w:spacing w:before="5" w:after="5"/>
            </w:pPr>
            <w:r>
              <w:rPr>
                <w:rFonts w:hint="eastAsia"/>
              </w:rPr>
              <w:t>4</w:t>
            </w:r>
          </w:p>
        </w:tc>
        <w:tc>
          <w:tcPr>
            <w:tcW w:w="0" w:type="auto"/>
            <w:vAlign w:val="center"/>
          </w:tcPr>
          <w:p>
            <w:pPr>
              <w:pStyle w:val="56"/>
              <w:spacing w:before="5" w:after="5"/>
            </w:pPr>
            <w:r>
              <w:rPr>
                <w:rFonts w:hint="eastAsia"/>
              </w:rPr>
              <w:t>废油墨</w:t>
            </w:r>
          </w:p>
        </w:tc>
        <w:tc>
          <w:tcPr>
            <w:tcW w:w="0" w:type="auto"/>
            <w:vAlign w:val="center"/>
          </w:tcPr>
          <w:p>
            <w:pPr>
              <w:pStyle w:val="56"/>
              <w:spacing w:before="5" w:after="5"/>
            </w:pPr>
            <w:r>
              <w:rPr>
                <w:rFonts w:hint="eastAsia"/>
              </w:rPr>
              <w:t>HW12</w:t>
            </w:r>
          </w:p>
        </w:tc>
        <w:tc>
          <w:tcPr>
            <w:tcW w:w="0" w:type="auto"/>
            <w:vAlign w:val="center"/>
          </w:tcPr>
          <w:p>
            <w:pPr>
              <w:pStyle w:val="56"/>
              <w:spacing w:before="5" w:after="5"/>
            </w:pPr>
            <w:r>
              <w:rPr>
                <w:rFonts w:hint="eastAsia"/>
              </w:rPr>
              <w:t>900-299-12</w:t>
            </w:r>
          </w:p>
        </w:tc>
        <w:tc>
          <w:tcPr>
            <w:tcW w:w="0" w:type="auto"/>
            <w:vAlign w:val="center"/>
          </w:tcPr>
          <w:p>
            <w:pPr>
              <w:pStyle w:val="56"/>
              <w:spacing w:before="5" w:after="5"/>
            </w:pPr>
            <w:r>
              <w:t>0.</w:t>
            </w:r>
            <w:r>
              <w:rPr>
                <w:rFonts w:hint="eastAsia"/>
              </w:rPr>
              <w:t>3</w:t>
            </w:r>
            <w:r>
              <w:t>t/a</w:t>
            </w:r>
          </w:p>
        </w:tc>
        <w:tc>
          <w:tcPr>
            <w:tcW w:w="0" w:type="auto"/>
            <w:vAlign w:val="center"/>
          </w:tcPr>
          <w:p>
            <w:pPr>
              <w:pStyle w:val="56"/>
              <w:spacing w:before="5" w:after="5"/>
            </w:pPr>
            <w:r>
              <w:rPr>
                <w:rFonts w:hint="eastAsia"/>
              </w:rPr>
              <w:t>0</w:t>
            </w:r>
            <w:r>
              <w:t>.001t</w:t>
            </w:r>
          </w:p>
        </w:tc>
        <w:tc>
          <w:tcPr>
            <w:tcW w:w="0" w:type="auto"/>
            <w:vAlign w:val="center"/>
          </w:tcPr>
          <w:p>
            <w:pPr>
              <w:pStyle w:val="56"/>
              <w:spacing w:before="5" w:after="5"/>
            </w:pPr>
            <w:r>
              <w:rPr>
                <w:rFonts w:hint="eastAsia"/>
              </w:rPr>
              <w:t>生产</w:t>
            </w:r>
          </w:p>
        </w:tc>
        <w:tc>
          <w:tcPr>
            <w:tcW w:w="0" w:type="auto"/>
            <w:vAlign w:val="center"/>
          </w:tcPr>
          <w:p>
            <w:pPr>
              <w:pStyle w:val="56"/>
              <w:spacing w:before="5" w:after="5"/>
            </w:pPr>
            <w:r>
              <w:rPr>
                <w:rFonts w:hint="eastAsia"/>
              </w:rPr>
              <w:t>2年</w:t>
            </w:r>
          </w:p>
        </w:tc>
        <w:tc>
          <w:tcPr>
            <w:tcW w:w="0" w:type="auto"/>
            <w:vAlign w:val="center"/>
          </w:tcPr>
          <w:p>
            <w:pPr>
              <w:pStyle w:val="56"/>
              <w:spacing w:before="5" w:after="5"/>
              <w:rPr>
                <w:rStyle w:val="109"/>
                <w:rFonts w:cstheme="minorBidi"/>
                <w:b w:val="0"/>
                <w:bCs w:val="0"/>
                <w:color w:val="auto"/>
                <w:sz w:val="21"/>
                <w:szCs w:val="22"/>
              </w:rPr>
            </w:pPr>
            <w:r>
              <w:rPr>
                <w:rStyle w:val="109"/>
                <w:rFonts w:cstheme="minorBidi"/>
                <w:b w:val="0"/>
                <w:bCs w:val="0"/>
                <w:color w:val="auto"/>
                <w:sz w:val="21"/>
                <w:szCs w:val="22"/>
              </w:rPr>
              <w:t>T</w:t>
            </w:r>
          </w:p>
        </w:tc>
        <w:tc>
          <w:tcPr>
            <w:tcW w:w="0" w:type="auto"/>
            <w:vAlign w:val="center"/>
          </w:tcPr>
          <w:p>
            <w:pPr>
              <w:pStyle w:val="56"/>
              <w:spacing w:before="5" w:after="5"/>
            </w:pPr>
            <w:r>
              <w:rPr>
                <w:rFonts w:hint="eastAsia"/>
              </w:rPr>
              <w:t>防渗托盘，危废间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0" w:type="auto"/>
            <w:vAlign w:val="center"/>
          </w:tcPr>
          <w:p>
            <w:pPr>
              <w:pStyle w:val="56"/>
              <w:spacing w:before="5" w:after="5"/>
            </w:pPr>
            <w:r>
              <w:rPr>
                <w:rFonts w:hint="eastAsia"/>
              </w:rPr>
              <w:t>5</w:t>
            </w:r>
          </w:p>
        </w:tc>
        <w:tc>
          <w:tcPr>
            <w:tcW w:w="0" w:type="auto"/>
            <w:vAlign w:val="center"/>
          </w:tcPr>
          <w:p>
            <w:pPr>
              <w:pStyle w:val="56"/>
              <w:spacing w:before="5" w:after="5"/>
            </w:pPr>
            <w:r>
              <w:rPr>
                <w:rFonts w:hint="eastAsia"/>
              </w:rPr>
              <w:t>废喷头清洗剂</w:t>
            </w:r>
          </w:p>
        </w:tc>
        <w:tc>
          <w:tcPr>
            <w:tcW w:w="0" w:type="auto"/>
            <w:vAlign w:val="center"/>
          </w:tcPr>
          <w:p>
            <w:pPr>
              <w:pStyle w:val="56"/>
              <w:spacing w:before="5" w:after="5"/>
            </w:pPr>
            <w:r>
              <w:rPr>
                <w:rFonts w:hint="eastAsia"/>
              </w:rPr>
              <w:t>HW06</w:t>
            </w:r>
          </w:p>
        </w:tc>
        <w:tc>
          <w:tcPr>
            <w:tcW w:w="0" w:type="auto"/>
            <w:vAlign w:val="center"/>
          </w:tcPr>
          <w:p>
            <w:pPr>
              <w:pStyle w:val="56"/>
              <w:spacing w:before="5" w:after="5"/>
            </w:pPr>
            <w:r>
              <w:rPr>
                <w:rFonts w:hint="eastAsia"/>
              </w:rPr>
              <w:t>900-404-06</w:t>
            </w:r>
          </w:p>
        </w:tc>
        <w:tc>
          <w:tcPr>
            <w:tcW w:w="0" w:type="auto"/>
            <w:vAlign w:val="center"/>
          </w:tcPr>
          <w:p>
            <w:pPr>
              <w:pStyle w:val="56"/>
              <w:spacing w:before="5" w:after="5"/>
            </w:pPr>
            <w:r>
              <w:t>0.1t/a</w:t>
            </w:r>
          </w:p>
        </w:tc>
        <w:tc>
          <w:tcPr>
            <w:tcW w:w="0" w:type="auto"/>
            <w:vAlign w:val="center"/>
          </w:tcPr>
          <w:p>
            <w:pPr>
              <w:pStyle w:val="56"/>
              <w:spacing w:before="5" w:after="5"/>
            </w:pPr>
            <w:r>
              <w:rPr>
                <w:rFonts w:hint="eastAsia"/>
              </w:rPr>
              <w:t>0</w:t>
            </w:r>
          </w:p>
        </w:tc>
        <w:tc>
          <w:tcPr>
            <w:tcW w:w="0" w:type="auto"/>
            <w:vAlign w:val="center"/>
          </w:tcPr>
          <w:p>
            <w:pPr>
              <w:pStyle w:val="56"/>
              <w:spacing w:before="5" w:after="5"/>
            </w:pPr>
            <w:r>
              <w:rPr>
                <w:rFonts w:hint="eastAsia"/>
              </w:rPr>
              <w:t>生产</w:t>
            </w:r>
          </w:p>
        </w:tc>
        <w:tc>
          <w:tcPr>
            <w:tcW w:w="0" w:type="auto"/>
            <w:vAlign w:val="center"/>
          </w:tcPr>
          <w:p>
            <w:pPr>
              <w:pStyle w:val="56"/>
              <w:spacing w:before="5" w:after="5"/>
            </w:pPr>
            <w:r>
              <w:rPr>
                <w:rFonts w:hint="eastAsia"/>
              </w:rPr>
              <w:t>2年</w:t>
            </w:r>
          </w:p>
        </w:tc>
        <w:tc>
          <w:tcPr>
            <w:tcW w:w="0" w:type="auto"/>
            <w:vAlign w:val="center"/>
          </w:tcPr>
          <w:p>
            <w:pPr>
              <w:pStyle w:val="56"/>
              <w:spacing w:before="5" w:after="5"/>
              <w:rPr>
                <w:rStyle w:val="109"/>
                <w:rFonts w:cstheme="minorBidi"/>
                <w:b w:val="0"/>
                <w:bCs w:val="0"/>
                <w:color w:val="auto"/>
                <w:sz w:val="21"/>
                <w:szCs w:val="22"/>
              </w:rPr>
            </w:pPr>
            <w:r>
              <w:rPr>
                <w:rStyle w:val="109"/>
                <w:rFonts w:cstheme="minorBidi"/>
                <w:b w:val="0"/>
                <w:bCs w:val="0"/>
                <w:color w:val="auto"/>
                <w:sz w:val="21"/>
                <w:szCs w:val="22"/>
              </w:rPr>
              <w:t>T/I</w:t>
            </w:r>
          </w:p>
        </w:tc>
        <w:tc>
          <w:tcPr>
            <w:tcW w:w="0" w:type="auto"/>
            <w:vAlign w:val="center"/>
          </w:tcPr>
          <w:p>
            <w:pPr>
              <w:pStyle w:val="56"/>
              <w:spacing w:before="5" w:after="5"/>
            </w:pPr>
            <w:r>
              <w:rPr>
                <w:rFonts w:hint="eastAsia"/>
              </w:rPr>
              <w:t>防渗托盘，危废间</w:t>
            </w:r>
          </w:p>
        </w:tc>
      </w:tr>
    </w:tbl>
    <w:p>
      <w:pPr>
        <w:pStyle w:val="6"/>
        <w:ind w:firstLine="0" w:firstLineChars="0"/>
      </w:pPr>
    </w:p>
    <w:p>
      <w:pPr>
        <w:pStyle w:val="8"/>
        <w:rPr>
          <w:color w:val="auto"/>
        </w:rPr>
      </w:pPr>
      <w:bookmarkStart w:id="174" w:name="_Toc69730687"/>
      <w:bookmarkStart w:id="175" w:name="_Toc9205"/>
      <w:r>
        <w:rPr>
          <w:rFonts w:hint="eastAsia"/>
          <w:color w:val="auto"/>
        </w:rPr>
        <w:t>4.2</w:t>
      </w:r>
      <w:r>
        <w:rPr>
          <w:color w:val="auto"/>
        </w:rPr>
        <w:t xml:space="preserve">  </w:t>
      </w:r>
      <w:r>
        <w:rPr>
          <w:rFonts w:hint="eastAsia"/>
          <w:color w:val="auto"/>
        </w:rPr>
        <w:t>其他环境保护设施</w:t>
      </w:r>
      <w:bookmarkEnd w:id="174"/>
      <w:bookmarkEnd w:id="175"/>
    </w:p>
    <w:p>
      <w:pPr>
        <w:pStyle w:val="9"/>
      </w:pPr>
      <w:r>
        <w:rPr>
          <w:rFonts w:hint="eastAsia"/>
        </w:rPr>
        <w:t>4.2.1</w:t>
      </w:r>
      <w:r>
        <w:t xml:space="preserve">  </w:t>
      </w:r>
      <w:r>
        <w:rPr>
          <w:rFonts w:hint="eastAsia"/>
        </w:rPr>
        <w:t>环境风险防范设施</w:t>
      </w:r>
    </w:p>
    <w:p>
      <w:pPr>
        <w:ind w:firstLine="480"/>
      </w:pPr>
      <w:r>
        <w:rPr>
          <w:rFonts w:hint="eastAsia"/>
        </w:rPr>
        <w:t>已采取以下环境风险防范措施；</w:t>
      </w:r>
    </w:p>
    <w:p>
      <w:pPr>
        <w:ind w:firstLine="480"/>
      </w:pPr>
      <w:r>
        <w:rPr>
          <w:rFonts w:hint="eastAsia"/>
        </w:rPr>
        <w:t>①合理安排生产，尽可能减少厂内风险物质贮存量；</w:t>
      </w:r>
    </w:p>
    <w:p>
      <w:pPr>
        <w:ind w:firstLine="480"/>
      </w:pPr>
      <w:r>
        <w:rPr>
          <w:rFonts w:hint="eastAsia"/>
        </w:rPr>
        <w:t>②按要求对仓库、危废间等进行地面防渗，并定期维护。</w:t>
      </w:r>
    </w:p>
    <w:p>
      <w:pPr>
        <w:ind w:firstLine="480"/>
      </w:pPr>
      <w:r>
        <w:rPr>
          <w:rFonts w:hint="eastAsia"/>
        </w:rPr>
        <w:t>③制定定期巡视检查制度，建立风险物质入库、出库记录台账，加强监督管理，尽可能杜绝泄漏事故的发生。</w:t>
      </w:r>
    </w:p>
    <w:p>
      <w:pPr>
        <w:pStyle w:val="9"/>
      </w:pPr>
      <w:r>
        <w:rPr>
          <w:rFonts w:hint="eastAsia"/>
        </w:rPr>
        <w:t>4</w:t>
      </w:r>
      <w:r>
        <w:t xml:space="preserve">.2.2  </w:t>
      </w:r>
      <w:r>
        <w:rPr>
          <w:rFonts w:hint="eastAsia"/>
        </w:rPr>
        <w:t>其他</w:t>
      </w:r>
    </w:p>
    <w:p>
      <w:pPr>
        <w:ind w:firstLine="480"/>
      </w:pPr>
      <w:r>
        <w:rPr>
          <w:rFonts w:hint="eastAsia"/>
        </w:rPr>
        <w:t>企业已对排污口进行规范化。</w:t>
      </w:r>
    </w:p>
    <w:p>
      <w:pPr>
        <w:pStyle w:val="8"/>
        <w:keepNext w:val="0"/>
        <w:keepLines w:val="0"/>
        <w:spacing w:before="240" w:beforeLines="100"/>
        <w:rPr>
          <w:color w:val="auto"/>
        </w:rPr>
      </w:pPr>
      <w:bookmarkStart w:id="176" w:name="_Toc30296"/>
      <w:r>
        <w:rPr>
          <w:color w:val="auto"/>
        </w:rPr>
        <w:t>4.3  环保设施投资及“三同时”落实情况</w:t>
      </w:r>
      <w:bookmarkEnd w:id="168"/>
      <w:bookmarkEnd w:id="169"/>
      <w:bookmarkEnd w:id="170"/>
      <w:bookmarkEnd w:id="171"/>
      <w:bookmarkEnd w:id="172"/>
      <w:bookmarkEnd w:id="173"/>
      <w:bookmarkEnd w:id="176"/>
    </w:p>
    <w:p>
      <w:pPr>
        <w:spacing w:before="72" w:after="72"/>
        <w:ind w:firstLine="480"/>
      </w:pPr>
      <w:r>
        <w:t>（1） 环保设施投资情况</w:t>
      </w:r>
    </w:p>
    <w:p>
      <w:pPr>
        <w:spacing w:before="72" w:after="72"/>
        <w:ind w:firstLine="480"/>
      </w:pPr>
      <w:r>
        <w:t>项目环评阶段预计总投资</w:t>
      </w:r>
      <w:r>
        <w:rPr>
          <w:rFonts w:hint="eastAsia"/>
        </w:rPr>
        <w:t>4000</w:t>
      </w:r>
      <w:r>
        <w:t>万元，项目环保投资主要为运营期环保设施的投资，预计投资额为</w:t>
      </w:r>
      <w:r>
        <w:rPr>
          <w:rFonts w:hint="eastAsia"/>
        </w:rPr>
        <w:t>15</w:t>
      </w:r>
      <w:r>
        <w:t>万元，占总投资的0.</w:t>
      </w:r>
      <w:r>
        <w:rPr>
          <w:rFonts w:hint="eastAsia"/>
        </w:rPr>
        <w:t>38</w:t>
      </w:r>
      <w:r>
        <w:t>%。实际项目总投资4200万元，环保投资为</w:t>
      </w:r>
      <w:r>
        <w:rPr>
          <w:rFonts w:hint="eastAsia"/>
        </w:rPr>
        <w:t>18</w:t>
      </w:r>
      <w:r>
        <w:t>万元，占总投资的0.43%。详见下表。</w:t>
      </w:r>
    </w:p>
    <w:p>
      <w:pPr>
        <w:pStyle w:val="58"/>
        <w:overflowPunct/>
        <w:spacing w:before="240"/>
        <w:textAlignment w:val="auto"/>
      </w:pPr>
      <w:r>
        <w:t xml:space="preserve">表4.2-1                            环保投资                              </w:t>
      </w:r>
      <w:r>
        <w:rPr>
          <w:rFonts w:hint="eastAsia"/>
        </w:rPr>
        <w:t>单位：</w:t>
      </w:r>
      <w:r>
        <w:t>万元</w:t>
      </w:r>
    </w:p>
    <w:tbl>
      <w:tblPr>
        <w:tblStyle w:val="151"/>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5375"/>
        <w:gridCol w:w="1162"/>
        <w:gridCol w:w="130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pPr>
              <w:adjustRightInd w:val="0"/>
              <w:snapToGrid w:val="0"/>
              <w:spacing w:line="240" w:lineRule="auto"/>
              <w:ind w:firstLine="0" w:firstLineChars="0"/>
              <w:jc w:val="center"/>
              <w:rPr>
                <w:sz w:val="21"/>
                <w:szCs w:val="21"/>
              </w:rPr>
            </w:pPr>
            <w:r>
              <w:rPr>
                <w:sz w:val="21"/>
                <w:szCs w:val="21"/>
              </w:rPr>
              <w:t>项目</w:t>
            </w:r>
          </w:p>
        </w:tc>
        <w:tc>
          <w:tcPr>
            <w:tcW w:w="2985" w:type="pct"/>
            <w:vAlign w:val="center"/>
          </w:tcPr>
          <w:p>
            <w:pPr>
              <w:adjustRightInd w:val="0"/>
              <w:snapToGrid w:val="0"/>
              <w:spacing w:line="240" w:lineRule="auto"/>
              <w:ind w:firstLine="0" w:firstLineChars="0"/>
              <w:jc w:val="center"/>
              <w:rPr>
                <w:sz w:val="21"/>
                <w:szCs w:val="21"/>
              </w:rPr>
            </w:pPr>
            <w:r>
              <w:rPr>
                <w:sz w:val="21"/>
                <w:szCs w:val="21"/>
              </w:rPr>
              <w:t>内容</w:t>
            </w:r>
          </w:p>
        </w:tc>
        <w:tc>
          <w:tcPr>
            <w:tcW w:w="645" w:type="pct"/>
            <w:vAlign w:val="center"/>
          </w:tcPr>
          <w:p>
            <w:pPr>
              <w:adjustRightInd w:val="0"/>
              <w:snapToGrid w:val="0"/>
              <w:spacing w:line="240" w:lineRule="auto"/>
              <w:ind w:firstLine="0" w:firstLineChars="0"/>
              <w:jc w:val="center"/>
              <w:rPr>
                <w:sz w:val="21"/>
                <w:szCs w:val="21"/>
              </w:rPr>
            </w:pPr>
            <w:r>
              <w:rPr>
                <w:rFonts w:hint="eastAsia"/>
                <w:sz w:val="21"/>
                <w:szCs w:val="21"/>
              </w:rPr>
              <w:t>预计</w:t>
            </w:r>
            <w:r>
              <w:rPr>
                <w:sz w:val="21"/>
                <w:szCs w:val="21"/>
              </w:rPr>
              <w:t>投资（万元）</w:t>
            </w:r>
          </w:p>
        </w:tc>
        <w:tc>
          <w:tcPr>
            <w:tcW w:w="725" w:type="pct"/>
            <w:vAlign w:val="center"/>
          </w:tcPr>
          <w:p>
            <w:pPr>
              <w:adjustRightInd w:val="0"/>
              <w:snapToGrid w:val="0"/>
              <w:spacing w:line="240" w:lineRule="auto"/>
              <w:ind w:firstLine="0" w:firstLineChars="0"/>
              <w:jc w:val="center"/>
              <w:rPr>
                <w:sz w:val="21"/>
                <w:szCs w:val="21"/>
              </w:rPr>
            </w:pPr>
            <w:r>
              <w:rPr>
                <w:rFonts w:hint="eastAsia"/>
                <w:sz w:val="21"/>
                <w:szCs w:val="21"/>
              </w:rPr>
              <w:t>实际</w:t>
            </w:r>
            <w:r>
              <w:rPr>
                <w:sz w:val="21"/>
                <w:szCs w:val="21"/>
              </w:rPr>
              <w:t>投资（万元）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pPr>
              <w:adjustRightInd w:val="0"/>
              <w:snapToGrid w:val="0"/>
              <w:spacing w:line="240" w:lineRule="auto"/>
              <w:ind w:firstLine="0" w:firstLineChars="0"/>
              <w:jc w:val="center"/>
              <w:rPr>
                <w:sz w:val="21"/>
                <w:szCs w:val="21"/>
              </w:rPr>
            </w:pPr>
            <w:r>
              <w:rPr>
                <w:sz w:val="21"/>
                <w:szCs w:val="21"/>
              </w:rPr>
              <w:t>废气处理</w:t>
            </w:r>
          </w:p>
        </w:tc>
        <w:tc>
          <w:tcPr>
            <w:tcW w:w="2985" w:type="pct"/>
            <w:vAlign w:val="center"/>
          </w:tcPr>
          <w:p>
            <w:pPr>
              <w:adjustRightInd w:val="0"/>
              <w:snapToGrid w:val="0"/>
              <w:spacing w:line="240" w:lineRule="auto"/>
              <w:ind w:firstLine="0" w:firstLineChars="0"/>
              <w:jc w:val="center"/>
              <w:rPr>
                <w:sz w:val="21"/>
                <w:szCs w:val="21"/>
              </w:rPr>
            </w:pPr>
            <w:r>
              <w:rPr>
                <w:rFonts w:hint="eastAsia"/>
                <w:sz w:val="21"/>
                <w:szCs w:val="21"/>
              </w:rPr>
              <w:t>彩喷机设置在专用密封罩中，为全封闭设计，每5台彩喷机设置在1个密闭罩</w:t>
            </w:r>
            <w:r>
              <w:rPr>
                <w:rFonts w:hint="eastAsia"/>
                <w:sz w:val="21"/>
                <w:szCs w:val="21"/>
                <w:lang w:val="en-US" w:eastAsia="zh-CN"/>
              </w:rPr>
              <w:t>，经1套两级串联活性炭吸附装置处理；危废间、油墨存储间全封闭设计，废气经1套两级串联活性炭吸附装置处理，两股废气汇集在一起由1根22m高排气筒排放。</w:t>
            </w:r>
          </w:p>
        </w:tc>
        <w:tc>
          <w:tcPr>
            <w:tcW w:w="645" w:type="pct"/>
            <w:vAlign w:val="center"/>
          </w:tcPr>
          <w:p>
            <w:pPr>
              <w:adjustRightInd w:val="0"/>
              <w:snapToGrid w:val="0"/>
              <w:spacing w:line="240" w:lineRule="auto"/>
              <w:ind w:firstLine="0" w:firstLineChars="0"/>
              <w:jc w:val="center"/>
              <w:rPr>
                <w:sz w:val="21"/>
                <w:szCs w:val="21"/>
              </w:rPr>
            </w:pPr>
            <w:r>
              <w:rPr>
                <w:sz w:val="21"/>
                <w:szCs w:val="21"/>
              </w:rPr>
              <w:t>10</w:t>
            </w:r>
          </w:p>
        </w:tc>
        <w:tc>
          <w:tcPr>
            <w:tcW w:w="725" w:type="pct"/>
            <w:vAlign w:val="center"/>
          </w:tcPr>
          <w:p>
            <w:pPr>
              <w:adjustRightInd w:val="0"/>
              <w:snapToGrid w:val="0"/>
              <w:spacing w:line="240" w:lineRule="auto"/>
              <w:ind w:firstLine="0" w:firstLineChars="0"/>
              <w:jc w:val="center"/>
              <w:rPr>
                <w:sz w:val="21"/>
                <w:szCs w:val="21"/>
              </w:rPr>
            </w:pPr>
            <w:r>
              <w:rPr>
                <w:rFonts w:hint="eastAsia"/>
                <w:sz w:val="21"/>
                <w:szCs w:val="21"/>
              </w:rPr>
              <w:t>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pPr>
              <w:adjustRightInd w:val="0"/>
              <w:snapToGrid w:val="0"/>
              <w:spacing w:line="240" w:lineRule="auto"/>
              <w:ind w:firstLine="0" w:firstLineChars="0"/>
              <w:jc w:val="center"/>
              <w:rPr>
                <w:sz w:val="21"/>
                <w:szCs w:val="21"/>
              </w:rPr>
            </w:pPr>
            <w:r>
              <w:rPr>
                <w:sz w:val="21"/>
                <w:szCs w:val="21"/>
              </w:rPr>
              <w:t>噪声处理</w:t>
            </w:r>
          </w:p>
        </w:tc>
        <w:tc>
          <w:tcPr>
            <w:tcW w:w="2985" w:type="pct"/>
            <w:vAlign w:val="center"/>
          </w:tcPr>
          <w:p>
            <w:pPr>
              <w:adjustRightInd w:val="0"/>
              <w:snapToGrid w:val="0"/>
              <w:spacing w:line="240" w:lineRule="auto"/>
              <w:ind w:firstLine="0" w:firstLineChars="0"/>
              <w:jc w:val="center"/>
              <w:rPr>
                <w:sz w:val="21"/>
                <w:szCs w:val="21"/>
              </w:rPr>
            </w:pPr>
            <w:r>
              <w:rPr>
                <w:sz w:val="21"/>
                <w:szCs w:val="21"/>
              </w:rPr>
              <w:t>隔声、减振措施</w:t>
            </w:r>
          </w:p>
        </w:tc>
        <w:tc>
          <w:tcPr>
            <w:tcW w:w="645" w:type="pct"/>
            <w:vAlign w:val="center"/>
          </w:tcPr>
          <w:p>
            <w:pPr>
              <w:adjustRightInd w:val="0"/>
              <w:snapToGrid w:val="0"/>
              <w:spacing w:line="240" w:lineRule="auto"/>
              <w:ind w:firstLine="0" w:firstLineChars="0"/>
              <w:jc w:val="center"/>
              <w:rPr>
                <w:sz w:val="21"/>
                <w:szCs w:val="21"/>
              </w:rPr>
            </w:pPr>
            <w:r>
              <w:rPr>
                <w:sz w:val="21"/>
                <w:szCs w:val="21"/>
              </w:rPr>
              <w:t>1</w:t>
            </w:r>
          </w:p>
        </w:tc>
        <w:tc>
          <w:tcPr>
            <w:tcW w:w="725" w:type="pct"/>
            <w:vAlign w:val="center"/>
          </w:tcPr>
          <w:p>
            <w:pPr>
              <w:adjustRightInd w:val="0"/>
              <w:snapToGrid w:val="0"/>
              <w:spacing w:line="240" w:lineRule="auto"/>
              <w:ind w:firstLine="0" w:firstLineChars="0"/>
              <w:jc w:val="center"/>
              <w:rPr>
                <w:sz w:val="21"/>
                <w:szCs w:val="21"/>
              </w:rPr>
            </w:pPr>
            <w:r>
              <w:rPr>
                <w:rFonts w:hint="eastAsia"/>
                <w:sz w:val="21"/>
                <w:szCs w:val="21"/>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pPr>
              <w:adjustRightInd w:val="0"/>
              <w:snapToGrid w:val="0"/>
              <w:spacing w:line="240" w:lineRule="auto"/>
              <w:ind w:firstLine="0" w:firstLineChars="0"/>
              <w:jc w:val="center"/>
              <w:rPr>
                <w:sz w:val="21"/>
                <w:szCs w:val="21"/>
              </w:rPr>
            </w:pPr>
            <w:r>
              <w:rPr>
                <w:sz w:val="21"/>
                <w:szCs w:val="21"/>
              </w:rPr>
              <w:t>固废处理</w:t>
            </w:r>
          </w:p>
        </w:tc>
        <w:tc>
          <w:tcPr>
            <w:tcW w:w="2985" w:type="pct"/>
            <w:vAlign w:val="center"/>
          </w:tcPr>
          <w:p>
            <w:pPr>
              <w:adjustRightInd w:val="0"/>
              <w:snapToGrid w:val="0"/>
              <w:spacing w:line="240" w:lineRule="auto"/>
              <w:ind w:firstLine="0" w:firstLineChars="0"/>
              <w:jc w:val="center"/>
              <w:rPr>
                <w:sz w:val="21"/>
                <w:szCs w:val="21"/>
              </w:rPr>
            </w:pPr>
            <w:r>
              <w:rPr>
                <w:rFonts w:hint="eastAsia"/>
                <w:sz w:val="21"/>
                <w:szCs w:val="21"/>
              </w:rPr>
              <w:t>危废暂存间</w:t>
            </w:r>
          </w:p>
        </w:tc>
        <w:tc>
          <w:tcPr>
            <w:tcW w:w="645" w:type="pct"/>
            <w:vAlign w:val="center"/>
          </w:tcPr>
          <w:p>
            <w:pPr>
              <w:adjustRightInd w:val="0"/>
              <w:snapToGrid w:val="0"/>
              <w:spacing w:line="240" w:lineRule="auto"/>
              <w:ind w:firstLine="0" w:firstLineChars="0"/>
              <w:jc w:val="center"/>
              <w:rPr>
                <w:sz w:val="21"/>
                <w:szCs w:val="21"/>
              </w:rPr>
            </w:pPr>
            <w:r>
              <w:rPr>
                <w:sz w:val="21"/>
                <w:szCs w:val="21"/>
              </w:rPr>
              <w:t>4</w:t>
            </w:r>
          </w:p>
        </w:tc>
        <w:tc>
          <w:tcPr>
            <w:tcW w:w="725" w:type="pct"/>
            <w:vAlign w:val="center"/>
          </w:tcPr>
          <w:p>
            <w:pPr>
              <w:adjustRightInd w:val="0"/>
              <w:snapToGrid w:val="0"/>
              <w:spacing w:line="240" w:lineRule="auto"/>
              <w:ind w:firstLine="0" w:firstLineChars="0"/>
              <w:jc w:val="center"/>
              <w:rPr>
                <w:sz w:val="21"/>
                <w:szCs w:val="21"/>
              </w:rPr>
            </w:pPr>
            <w:r>
              <w:rPr>
                <w:rFonts w:hint="eastAsia"/>
                <w:sz w:val="21"/>
                <w:szCs w:val="21"/>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30" w:type="pct"/>
            <w:gridSpan w:val="2"/>
            <w:vAlign w:val="center"/>
          </w:tcPr>
          <w:p>
            <w:pPr>
              <w:adjustRightInd w:val="0"/>
              <w:snapToGrid w:val="0"/>
              <w:spacing w:line="240" w:lineRule="auto"/>
              <w:ind w:firstLine="0" w:firstLineChars="0"/>
              <w:jc w:val="center"/>
              <w:rPr>
                <w:sz w:val="21"/>
                <w:szCs w:val="21"/>
              </w:rPr>
            </w:pPr>
            <w:r>
              <w:rPr>
                <w:rFonts w:hint="eastAsia"/>
                <w:sz w:val="21"/>
                <w:szCs w:val="21"/>
              </w:rPr>
              <w:t>合计</w:t>
            </w:r>
          </w:p>
        </w:tc>
        <w:tc>
          <w:tcPr>
            <w:tcW w:w="645" w:type="pct"/>
            <w:vAlign w:val="center"/>
          </w:tcPr>
          <w:p>
            <w:pPr>
              <w:adjustRightInd w:val="0"/>
              <w:snapToGrid w:val="0"/>
              <w:spacing w:line="240" w:lineRule="auto"/>
              <w:ind w:firstLine="0" w:firstLineChars="0"/>
              <w:jc w:val="center"/>
              <w:rPr>
                <w:sz w:val="21"/>
                <w:szCs w:val="21"/>
              </w:rPr>
            </w:pPr>
            <w:r>
              <w:rPr>
                <w:rFonts w:hint="eastAsia"/>
                <w:sz w:val="21"/>
                <w:szCs w:val="21"/>
              </w:rPr>
              <w:t>1</w:t>
            </w:r>
            <w:r>
              <w:rPr>
                <w:sz w:val="21"/>
                <w:szCs w:val="21"/>
              </w:rPr>
              <w:t>5</w:t>
            </w:r>
          </w:p>
        </w:tc>
        <w:tc>
          <w:tcPr>
            <w:tcW w:w="725" w:type="pct"/>
            <w:vAlign w:val="center"/>
          </w:tcPr>
          <w:p>
            <w:pPr>
              <w:adjustRightInd w:val="0"/>
              <w:snapToGrid w:val="0"/>
              <w:spacing w:line="240" w:lineRule="auto"/>
              <w:ind w:firstLine="0" w:firstLineChars="0"/>
              <w:jc w:val="center"/>
              <w:rPr>
                <w:sz w:val="21"/>
                <w:szCs w:val="21"/>
              </w:rPr>
            </w:pPr>
            <w:r>
              <w:rPr>
                <w:rFonts w:hint="eastAsia"/>
                <w:sz w:val="21"/>
                <w:szCs w:val="21"/>
              </w:rPr>
              <w:t>1</w:t>
            </w:r>
            <w:r>
              <w:rPr>
                <w:sz w:val="21"/>
                <w:szCs w:val="21"/>
              </w:rPr>
              <w:t>8</w:t>
            </w:r>
          </w:p>
        </w:tc>
      </w:tr>
    </w:tbl>
    <w:p>
      <w:pPr>
        <w:spacing w:before="240" w:beforeLines="100"/>
        <w:ind w:firstLine="480"/>
      </w:pPr>
      <w:r>
        <w:t>（2）</w:t>
      </w:r>
      <w:r>
        <w:rPr>
          <w:rFonts w:hint="eastAsia"/>
        </w:rPr>
        <w:t xml:space="preserve"> </w:t>
      </w:r>
      <w:r>
        <w:t>“三同时”落实情况</w:t>
      </w:r>
    </w:p>
    <w:p>
      <w:pPr>
        <w:spacing w:before="72" w:after="72"/>
        <w:ind w:firstLine="480"/>
      </w:pPr>
      <w:r>
        <w:t>项目环保设施设计、施工均有建设单位完成，环保设施及“三同时”验收情况见下表4.2-2。</w:t>
      </w:r>
    </w:p>
    <w:p>
      <w:pPr>
        <w:pStyle w:val="58"/>
        <w:overflowPunct/>
        <w:spacing w:before="240"/>
        <w:textAlignment w:val="auto"/>
      </w:pPr>
      <w:r>
        <w:t>表4.2-2                    项目环保设施及“三同时”验收情况</w:t>
      </w:r>
    </w:p>
    <w:tbl>
      <w:tblPr>
        <w:tblStyle w:val="46"/>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4"/>
        <w:gridCol w:w="891"/>
        <w:gridCol w:w="942"/>
        <w:gridCol w:w="2589"/>
        <w:gridCol w:w="2100"/>
        <w:gridCol w:w="192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dxa"/>
            <w:vAlign w:val="center"/>
          </w:tcPr>
          <w:p>
            <w:pPr>
              <w:spacing w:line="240" w:lineRule="auto"/>
              <w:ind w:firstLine="0" w:firstLineChars="0"/>
              <w:jc w:val="center"/>
              <w:rPr>
                <w:sz w:val="21"/>
                <w:szCs w:val="21"/>
              </w:rPr>
            </w:pPr>
            <w:r>
              <w:rPr>
                <w:sz w:val="21"/>
                <w:szCs w:val="21"/>
              </w:rPr>
              <w:t>类型</w:t>
            </w:r>
          </w:p>
        </w:tc>
        <w:tc>
          <w:tcPr>
            <w:tcW w:w="891" w:type="dxa"/>
            <w:vAlign w:val="center"/>
          </w:tcPr>
          <w:p>
            <w:pPr>
              <w:spacing w:line="240" w:lineRule="auto"/>
              <w:ind w:firstLine="0" w:firstLineChars="0"/>
              <w:jc w:val="center"/>
              <w:rPr>
                <w:sz w:val="21"/>
                <w:szCs w:val="21"/>
              </w:rPr>
            </w:pPr>
            <w:r>
              <w:rPr>
                <w:sz w:val="21"/>
                <w:szCs w:val="21"/>
              </w:rPr>
              <w:t>污染源</w:t>
            </w:r>
          </w:p>
        </w:tc>
        <w:tc>
          <w:tcPr>
            <w:tcW w:w="942" w:type="dxa"/>
            <w:vAlign w:val="center"/>
          </w:tcPr>
          <w:p>
            <w:pPr>
              <w:spacing w:line="240" w:lineRule="auto"/>
              <w:ind w:firstLine="0" w:firstLineChars="0"/>
              <w:jc w:val="center"/>
              <w:rPr>
                <w:sz w:val="21"/>
                <w:szCs w:val="21"/>
              </w:rPr>
            </w:pPr>
            <w:r>
              <w:rPr>
                <w:sz w:val="21"/>
                <w:szCs w:val="21"/>
              </w:rPr>
              <w:t>污染因子</w:t>
            </w:r>
          </w:p>
        </w:tc>
        <w:tc>
          <w:tcPr>
            <w:tcW w:w="2589" w:type="dxa"/>
            <w:vAlign w:val="center"/>
          </w:tcPr>
          <w:p>
            <w:pPr>
              <w:spacing w:line="240" w:lineRule="auto"/>
              <w:ind w:firstLine="0" w:firstLineChars="0"/>
              <w:jc w:val="center"/>
              <w:rPr>
                <w:sz w:val="21"/>
                <w:szCs w:val="21"/>
              </w:rPr>
            </w:pPr>
            <w:r>
              <w:rPr>
                <w:sz w:val="21"/>
                <w:szCs w:val="21"/>
              </w:rPr>
              <w:t>污染防治措施</w:t>
            </w:r>
          </w:p>
        </w:tc>
        <w:tc>
          <w:tcPr>
            <w:tcW w:w="2100" w:type="dxa"/>
            <w:vAlign w:val="center"/>
          </w:tcPr>
          <w:p>
            <w:pPr>
              <w:spacing w:line="240" w:lineRule="auto"/>
              <w:ind w:firstLine="0" w:firstLineChars="0"/>
              <w:jc w:val="center"/>
              <w:rPr>
                <w:sz w:val="21"/>
                <w:szCs w:val="21"/>
              </w:rPr>
            </w:pPr>
            <w:r>
              <w:rPr>
                <w:sz w:val="21"/>
                <w:szCs w:val="21"/>
              </w:rPr>
              <w:t>治理效果</w:t>
            </w:r>
          </w:p>
        </w:tc>
        <w:tc>
          <w:tcPr>
            <w:tcW w:w="1922" w:type="dxa"/>
            <w:vAlign w:val="center"/>
          </w:tcPr>
          <w:p>
            <w:pPr>
              <w:spacing w:line="240" w:lineRule="auto"/>
              <w:ind w:firstLine="0" w:firstLineChars="0"/>
              <w:jc w:val="center"/>
              <w:rPr>
                <w:sz w:val="21"/>
                <w:szCs w:val="21"/>
              </w:rPr>
            </w:pPr>
            <w:r>
              <w:rPr>
                <w:sz w:val="21"/>
                <w:szCs w:val="21"/>
              </w:rPr>
              <w:t>实际落实情况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dxa"/>
            <w:vAlign w:val="center"/>
          </w:tcPr>
          <w:p>
            <w:pPr>
              <w:spacing w:line="240" w:lineRule="auto"/>
              <w:ind w:firstLine="0" w:firstLineChars="0"/>
              <w:jc w:val="center"/>
              <w:rPr>
                <w:sz w:val="21"/>
                <w:szCs w:val="21"/>
              </w:rPr>
            </w:pPr>
            <w:r>
              <w:rPr>
                <w:sz w:val="21"/>
                <w:szCs w:val="21"/>
              </w:rPr>
              <w:t>废气治理</w:t>
            </w:r>
          </w:p>
        </w:tc>
        <w:tc>
          <w:tcPr>
            <w:tcW w:w="891" w:type="dxa"/>
            <w:vAlign w:val="center"/>
          </w:tcPr>
          <w:p>
            <w:pPr>
              <w:spacing w:line="240" w:lineRule="auto"/>
              <w:ind w:firstLine="0" w:firstLineChars="0"/>
              <w:jc w:val="center"/>
              <w:rPr>
                <w:sz w:val="21"/>
                <w:szCs w:val="21"/>
              </w:rPr>
            </w:pPr>
            <w:r>
              <w:rPr>
                <w:rFonts w:hint="eastAsia"/>
                <w:sz w:val="21"/>
                <w:szCs w:val="21"/>
              </w:rPr>
              <w:t>彩喷、擦拭、存储</w:t>
            </w:r>
          </w:p>
        </w:tc>
        <w:tc>
          <w:tcPr>
            <w:tcW w:w="942" w:type="dxa"/>
            <w:vAlign w:val="center"/>
          </w:tcPr>
          <w:p>
            <w:pPr>
              <w:spacing w:line="240" w:lineRule="auto"/>
              <w:ind w:firstLine="0" w:firstLineChars="0"/>
              <w:jc w:val="center"/>
              <w:rPr>
                <w:sz w:val="21"/>
                <w:szCs w:val="21"/>
              </w:rPr>
            </w:pPr>
            <w:r>
              <w:rPr>
                <w:sz w:val="21"/>
                <w:szCs w:val="21"/>
              </w:rPr>
              <w:t>非甲烷总烃</w:t>
            </w:r>
          </w:p>
        </w:tc>
        <w:tc>
          <w:tcPr>
            <w:tcW w:w="2589" w:type="dxa"/>
            <w:vAlign w:val="center"/>
          </w:tcPr>
          <w:p>
            <w:pPr>
              <w:spacing w:line="240" w:lineRule="auto"/>
              <w:ind w:firstLine="0" w:firstLineChars="0"/>
              <w:jc w:val="center"/>
              <w:rPr>
                <w:sz w:val="21"/>
                <w:szCs w:val="21"/>
              </w:rPr>
            </w:pPr>
            <w:r>
              <w:rPr>
                <w:rFonts w:hint="eastAsia"/>
                <w:sz w:val="21"/>
                <w:szCs w:val="21"/>
              </w:rPr>
              <w:t>彩喷机设置在专用密封罩中，为全封闭设计，每5台彩喷机设置在1个密闭罩；危废间、油墨存储间全封闭设计，废气经密封收集，和彩喷工艺废气共同经活性炭吸附处理，处理后由1根22m高排气筒排放。</w:t>
            </w:r>
          </w:p>
        </w:tc>
        <w:tc>
          <w:tcPr>
            <w:tcW w:w="2100" w:type="dxa"/>
            <w:vAlign w:val="center"/>
          </w:tcPr>
          <w:p>
            <w:pPr>
              <w:pStyle w:val="56"/>
              <w:rPr>
                <w:rFonts w:eastAsia="宋体" w:cs="Times New Roman"/>
                <w:szCs w:val="21"/>
              </w:rPr>
            </w:pPr>
            <w:r>
              <w:rPr>
                <w:rFonts w:hint="eastAsia" w:eastAsia="宋体" w:cs="Times New Roman"/>
                <w:szCs w:val="21"/>
              </w:rPr>
              <w:t>满足《印刷业挥发性有机物排放标准》（DB21/3161-2019）</w:t>
            </w:r>
          </w:p>
          <w:p>
            <w:pPr>
              <w:spacing w:line="240" w:lineRule="auto"/>
              <w:ind w:firstLine="0" w:firstLineChars="0"/>
              <w:jc w:val="center"/>
              <w:rPr>
                <w:sz w:val="21"/>
                <w:szCs w:val="21"/>
              </w:rPr>
            </w:pPr>
            <w:r>
              <w:rPr>
                <w:rFonts w:hint="eastAsia"/>
                <w:sz w:val="21"/>
                <w:szCs w:val="21"/>
              </w:rPr>
              <w:t>《挥发性有机物无组织排放标准》（GB37822-2019</w:t>
            </w:r>
            <w:r>
              <w:rPr>
                <w:sz w:val="21"/>
                <w:szCs w:val="21"/>
              </w:rPr>
              <w:t>）</w:t>
            </w:r>
          </w:p>
        </w:tc>
        <w:tc>
          <w:tcPr>
            <w:tcW w:w="1922" w:type="dxa"/>
            <w:vAlign w:val="center"/>
          </w:tcPr>
          <w:p>
            <w:pPr>
              <w:spacing w:line="240" w:lineRule="auto"/>
              <w:ind w:firstLine="0" w:firstLineChars="0"/>
              <w:jc w:val="center"/>
              <w:rPr>
                <w:sz w:val="21"/>
                <w:szCs w:val="21"/>
              </w:rPr>
            </w:pPr>
            <w:r>
              <w:rPr>
                <w:rFonts w:hint="eastAsia"/>
                <w:sz w:val="21"/>
                <w:szCs w:val="21"/>
              </w:rPr>
              <w:t>彩喷机设置在专用密封罩中，为全封闭设计，每5台彩喷机设置在1个密闭罩</w:t>
            </w:r>
            <w:r>
              <w:rPr>
                <w:rFonts w:hint="eastAsia"/>
                <w:sz w:val="21"/>
                <w:szCs w:val="21"/>
                <w:lang w:eastAsia="zh-CN"/>
              </w:rPr>
              <w:t>，</w:t>
            </w:r>
            <w:r>
              <w:rPr>
                <w:rFonts w:hint="eastAsia"/>
                <w:sz w:val="21"/>
                <w:szCs w:val="21"/>
                <w:lang w:val="en-US" w:eastAsia="zh-CN"/>
              </w:rPr>
              <w:t>经一套两级串联活性炭吸附装置处理</w:t>
            </w:r>
            <w:r>
              <w:rPr>
                <w:rFonts w:hint="eastAsia"/>
                <w:sz w:val="21"/>
                <w:szCs w:val="21"/>
              </w:rPr>
              <w:t>；危废间、油墨存储间全封闭设计，废气经密封收集，经</w:t>
            </w:r>
            <w:r>
              <w:rPr>
                <w:rFonts w:hint="eastAsia"/>
                <w:sz w:val="21"/>
                <w:szCs w:val="21"/>
                <w:lang w:val="en-US" w:eastAsia="zh-CN"/>
              </w:rPr>
              <w:t>1套两级串联活性炭吸附装置处理</w:t>
            </w:r>
            <w:r>
              <w:rPr>
                <w:rFonts w:hint="eastAsia"/>
                <w:sz w:val="21"/>
                <w:szCs w:val="21"/>
              </w:rPr>
              <w:t>，</w:t>
            </w:r>
            <w:r>
              <w:rPr>
                <w:rFonts w:hint="eastAsia"/>
                <w:sz w:val="21"/>
                <w:szCs w:val="21"/>
                <w:lang w:val="en-US" w:eastAsia="zh-CN"/>
              </w:rPr>
              <w:t>两股废气汇集在一起</w:t>
            </w:r>
            <w:r>
              <w:rPr>
                <w:rFonts w:hint="eastAsia"/>
                <w:sz w:val="21"/>
                <w:szCs w:val="21"/>
              </w:rPr>
              <w:t>由1根22m高排气筒排放。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dxa"/>
            <w:vAlign w:val="center"/>
          </w:tcPr>
          <w:p>
            <w:pPr>
              <w:spacing w:line="240" w:lineRule="auto"/>
              <w:ind w:firstLine="0" w:firstLineChars="0"/>
              <w:jc w:val="center"/>
              <w:rPr>
                <w:sz w:val="21"/>
                <w:szCs w:val="21"/>
              </w:rPr>
            </w:pPr>
            <w:r>
              <w:rPr>
                <w:sz w:val="21"/>
                <w:szCs w:val="21"/>
              </w:rPr>
              <w:t>噪声治理</w:t>
            </w:r>
          </w:p>
        </w:tc>
        <w:tc>
          <w:tcPr>
            <w:tcW w:w="891" w:type="dxa"/>
            <w:vAlign w:val="center"/>
          </w:tcPr>
          <w:p>
            <w:pPr>
              <w:spacing w:line="240" w:lineRule="auto"/>
              <w:ind w:firstLine="0" w:firstLineChars="0"/>
              <w:jc w:val="center"/>
              <w:rPr>
                <w:sz w:val="21"/>
                <w:szCs w:val="21"/>
              </w:rPr>
            </w:pPr>
            <w:r>
              <w:rPr>
                <w:sz w:val="21"/>
                <w:szCs w:val="21"/>
              </w:rPr>
              <w:t>生产设备</w:t>
            </w:r>
          </w:p>
        </w:tc>
        <w:tc>
          <w:tcPr>
            <w:tcW w:w="942" w:type="dxa"/>
            <w:vAlign w:val="center"/>
          </w:tcPr>
          <w:p>
            <w:pPr>
              <w:spacing w:line="240" w:lineRule="auto"/>
              <w:ind w:firstLine="0" w:firstLineChars="0"/>
              <w:jc w:val="center"/>
              <w:rPr>
                <w:sz w:val="21"/>
                <w:szCs w:val="21"/>
              </w:rPr>
            </w:pPr>
            <w:r>
              <w:rPr>
                <w:sz w:val="21"/>
                <w:szCs w:val="21"/>
              </w:rPr>
              <w:t>噪声</w:t>
            </w:r>
          </w:p>
        </w:tc>
        <w:tc>
          <w:tcPr>
            <w:tcW w:w="2589" w:type="dxa"/>
            <w:vAlign w:val="center"/>
          </w:tcPr>
          <w:p>
            <w:pPr>
              <w:spacing w:line="240" w:lineRule="auto"/>
              <w:ind w:firstLine="0" w:firstLineChars="0"/>
              <w:jc w:val="center"/>
              <w:rPr>
                <w:sz w:val="21"/>
                <w:szCs w:val="21"/>
              </w:rPr>
            </w:pPr>
            <w:r>
              <w:rPr>
                <w:rFonts w:hint="eastAsia"/>
                <w:sz w:val="21"/>
                <w:szCs w:val="21"/>
              </w:rPr>
              <w:t>隔声、减振措施</w:t>
            </w:r>
          </w:p>
        </w:tc>
        <w:tc>
          <w:tcPr>
            <w:tcW w:w="2100" w:type="dxa"/>
            <w:vAlign w:val="center"/>
          </w:tcPr>
          <w:p>
            <w:pPr>
              <w:spacing w:line="240" w:lineRule="auto"/>
              <w:ind w:firstLine="0" w:firstLineChars="0"/>
              <w:jc w:val="center"/>
              <w:rPr>
                <w:sz w:val="21"/>
                <w:szCs w:val="21"/>
              </w:rPr>
            </w:pPr>
            <w:r>
              <w:rPr>
                <w:sz w:val="21"/>
                <w:szCs w:val="21"/>
              </w:rPr>
              <w:t>满足《工业企业厂界环境噪声排放标准》（GB12348-2008）中的</w:t>
            </w:r>
            <w:r>
              <w:rPr>
                <w:rFonts w:hint="eastAsia"/>
                <w:sz w:val="21"/>
                <w:szCs w:val="21"/>
              </w:rPr>
              <w:t>2</w:t>
            </w:r>
            <w:r>
              <w:rPr>
                <w:sz w:val="21"/>
                <w:szCs w:val="21"/>
              </w:rPr>
              <w:t>、4类标准</w:t>
            </w:r>
          </w:p>
        </w:tc>
        <w:tc>
          <w:tcPr>
            <w:tcW w:w="1922" w:type="dxa"/>
            <w:vAlign w:val="center"/>
          </w:tcPr>
          <w:p>
            <w:pPr>
              <w:spacing w:line="240" w:lineRule="auto"/>
              <w:ind w:firstLine="0" w:firstLineChars="0"/>
              <w:jc w:val="center"/>
              <w:rPr>
                <w:sz w:val="21"/>
                <w:szCs w:val="21"/>
              </w:rPr>
            </w:pPr>
            <w:r>
              <w:rPr>
                <w:rFonts w:hint="eastAsia"/>
                <w:sz w:val="21"/>
                <w:szCs w:val="21"/>
              </w:rPr>
              <w:t>已落实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dxa"/>
            <w:vMerge w:val="restart"/>
            <w:vAlign w:val="center"/>
          </w:tcPr>
          <w:p>
            <w:pPr>
              <w:spacing w:line="240" w:lineRule="auto"/>
              <w:ind w:firstLine="0" w:firstLineChars="0"/>
              <w:jc w:val="center"/>
              <w:rPr>
                <w:sz w:val="21"/>
                <w:szCs w:val="21"/>
              </w:rPr>
            </w:pPr>
            <w:r>
              <w:rPr>
                <w:rFonts w:hint="eastAsia"/>
                <w:sz w:val="21"/>
                <w:szCs w:val="21"/>
              </w:rPr>
              <w:t>固废治理</w:t>
            </w:r>
          </w:p>
        </w:tc>
        <w:tc>
          <w:tcPr>
            <w:tcW w:w="891" w:type="dxa"/>
            <w:vMerge w:val="restart"/>
            <w:vAlign w:val="center"/>
          </w:tcPr>
          <w:p>
            <w:pPr>
              <w:spacing w:line="240" w:lineRule="auto"/>
              <w:ind w:firstLine="0" w:firstLineChars="0"/>
              <w:jc w:val="center"/>
              <w:rPr>
                <w:sz w:val="21"/>
                <w:szCs w:val="21"/>
              </w:rPr>
            </w:pPr>
            <w:r>
              <w:rPr>
                <w:rFonts w:hint="eastAsia"/>
                <w:sz w:val="21"/>
                <w:szCs w:val="21"/>
              </w:rPr>
              <w:t>一般固废</w:t>
            </w:r>
          </w:p>
        </w:tc>
        <w:tc>
          <w:tcPr>
            <w:tcW w:w="942" w:type="dxa"/>
            <w:vAlign w:val="center"/>
          </w:tcPr>
          <w:p>
            <w:pPr>
              <w:spacing w:line="240" w:lineRule="auto"/>
              <w:ind w:firstLine="0" w:firstLineChars="0"/>
              <w:jc w:val="center"/>
              <w:rPr>
                <w:sz w:val="21"/>
                <w:szCs w:val="21"/>
              </w:rPr>
            </w:pPr>
            <w:r>
              <w:rPr>
                <w:sz w:val="21"/>
                <w:szCs w:val="21"/>
              </w:rPr>
              <w:t>包装材料</w:t>
            </w:r>
          </w:p>
        </w:tc>
        <w:tc>
          <w:tcPr>
            <w:tcW w:w="2589" w:type="dxa"/>
            <w:vAlign w:val="center"/>
          </w:tcPr>
          <w:p>
            <w:pPr>
              <w:spacing w:line="240" w:lineRule="auto"/>
              <w:ind w:firstLine="0" w:firstLineChars="0"/>
              <w:jc w:val="center"/>
              <w:rPr>
                <w:sz w:val="21"/>
                <w:szCs w:val="21"/>
              </w:rPr>
            </w:pPr>
            <w:r>
              <w:rPr>
                <w:rFonts w:hint="eastAsia"/>
                <w:sz w:val="21"/>
                <w:szCs w:val="21"/>
              </w:rPr>
              <w:t>集中收集，由废品回收站回收再利用</w:t>
            </w:r>
          </w:p>
        </w:tc>
        <w:tc>
          <w:tcPr>
            <w:tcW w:w="2100" w:type="dxa"/>
            <w:vAlign w:val="center"/>
          </w:tcPr>
          <w:p>
            <w:pPr>
              <w:spacing w:line="240" w:lineRule="auto"/>
              <w:ind w:firstLine="0" w:firstLineChars="0"/>
              <w:jc w:val="center"/>
              <w:rPr>
                <w:sz w:val="21"/>
                <w:szCs w:val="21"/>
              </w:rPr>
            </w:pPr>
            <w:r>
              <w:rPr>
                <w:rFonts w:hint="eastAsia"/>
                <w:sz w:val="21"/>
                <w:szCs w:val="21"/>
              </w:rPr>
              <w:t>集中收集，由废品回收站回收再利用</w:t>
            </w:r>
          </w:p>
        </w:tc>
        <w:tc>
          <w:tcPr>
            <w:tcW w:w="1922" w:type="dxa"/>
            <w:vAlign w:val="center"/>
          </w:tcPr>
          <w:p>
            <w:pPr>
              <w:spacing w:line="240" w:lineRule="auto"/>
              <w:ind w:firstLine="0" w:firstLineChars="0"/>
              <w:jc w:val="center"/>
              <w:rPr>
                <w:sz w:val="21"/>
                <w:szCs w:val="21"/>
              </w:rPr>
            </w:pPr>
            <w:r>
              <w:rPr>
                <w:rFonts w:hint="eastAsia"/>
                <w:sz w:val="21"/>
                <w:szCs w:val="21"/>
              </w:rPr>
              <w:t>已落实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dxa"/>
            <w:vMerge w:val="continue"/>
            <w:vAlign w:val="center"/>
          </w:tcPr>
          <w:p>
            <w:pPr>
              <w:spacing w:line="240" w:lineRule="auto"/>
              <w:ind w:firstLine="0" w:firstLineChars="0"/>
              <w:jc w:val="center"/>
              <w:rPr>
                <w:sz w:val="21"/>
                <w:szCs w:val="21"/>
              </w:rPr>
            </w:pPr>
          </w:p>
        </w:tc>
        <w:tc>
          <w:tcPr>
            <w:tcW w:w="891" w:type="dxa"/>
            <w:vMerge w:val="continue"/>
            <w:vAlign w:val="center"/>
          </w:tcPr>
          <w:p>
            <w:pPr>
              <w:spacing w:line="240" w:lineRule="auto"/>
              <w:ind w:firstLine="0" w:firstLineChars="0"/>
              <w:jc w:val="center"/>
              <w:rPr>
                <w:sz w:val="21"/>
                <w:szCs w:val="21"/>
              </w:rPr>
            </w:pPr>
          </w:p>
        </w:tc>
        <w:tc>
          <w:tcPr>
            <w:tcW w:w="942" w:type="dxa"/>
            <w:vAlign w:val="center"/>
          </w:tcPr>
          <w:p>
            <w:pPr>
              <w:spacing w:line="240" w:lineRule="auto"/>
              <w:ind w:firstLine="0" w:firstLineChars="0"/>
              <w:jc w:val="center"/>
              <w:rPr>
                <w:sz w:val="21"/>
                <w:szCs w:val="21"/>
              </w:rPr>
            </w:pPr>
            <w:r>
              <w:rPr>
                <w:sz w:val="21"/>
                <w:szCs w:val="21"/>
              </w:rPr>
              <w:t>不合格品</w:t>
            </w:r>
          </w:p>
        </w:tc>
        <w:tc>
          <w:tcPr>
            <w:tcW w:w="2589" w:type="dxa"/>
            <w:vAlign w:val="center"/>
          </w:tcPr>
          <w:p>
            <w:pPr>
              <w:spacing w:line="240" w:lineRule="auto"/>
              <w:ind w:firstLine="0" w:firstLineChars="0"/>
              <w:jc w:val="center"/>
              <w:rPr>
                <w:sz w:val="21"/>
                <w:szCs w:val="21"/>
              </w:rPr>
            </w:pPr>
            <w:r>
              <w:rPr>
                <w:rFonts w:hint="eastAsia"/>
                <w:sz w:val="21"/>
                <w:szCs w:val="21"/>
              </w:rPr>
              <w:t>销毁后返厂家</w:t>
            </w:r>
          </w:p>
        </w:tc>
        <w:tc>
          <w:tcPr>
            <w:tcW w:w="2100" w:type="dxa"/>
            <w:vAlign w:val="center"/>
          </w:tcPr>
          <w:p>
            <w:pPr>
              <w:spacing w:line="240" w:lineRule="auto"/>
              <w:ind w:firstLine="0" w:firstLineChars="0"/>
              <w:jc w:val="center"/>
              <w:rPr>
                <w:sz w:val="21"/>
                <w:szCs w:val="21"/>
              </w:rPr>
            </w:pPr>
            <w:r>
              <w:rPr>
                <w:rFonts w:hint="eastAsia"/>
                <w:sz w:val="21"/>
                <w:szCs w:val="21"/>
              </w:rPr>
              <w:t>销毁后返厂家</w:t>
            </w:r>
          </w:p>
        </w:tc>
        <w:tc>
          <w:tcPr>
            <w:tcW w:w="1922" w:type="dxa"/>
            <w:vAlign w:val="center"/>
          </w:tcPr>
          <w:p>
            <w:pPr>
              <w:spacing w:line="240" w:lineRule="auto"/>
              <w:ind w:firstLine="0" w:firstLineChars="0"/>
              <w:jc w:val="center"/>
              <w:rPr>
                <w:sz w:val="21"/>
                <w:szCs w:val="21"/>
              </w:rPr>
            </w:pPr>
            <w:r>
              <w:rPr>
                <w:rFonts w:hint="eastAsia"/>
                <w:sz w:val="21"/>
                <w:szCs w:val="21"/>
              </w:rPr>
              <w:t>已落实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4" w:type="dxa"/>
            <w:vMerge w:val="continue"/>
            <w:vAlign w:val="center"/>
          </w:tcPr>
          <w:p>
            <w:pPr>
              <w:spacing w:line="240" w:lineRule="auto"/>
              <w:ind w:firstLine="0" w:firstLineChars="0"/>
              <w:jc w:val="center"/>
              <w:rPr>
                <w:sz w:val="21"/>
                <w:szCs w:val="21"/>
              </w:rPr>
            </w:pPr>
          </w:p>
        </w:tc>
        <w:tc>
          <w:tcPr>
            <w:tcW w:w="891" w:type="dxa"/>
            <w:vAlign w:val="center"/>
          </w:tcPr>
          <w:p>
            <w:pPr>
              <w:spacing w:line="240" w:lineRule="auto"/>
              <w:ind w:firstLine="0" w:firstLineChars="0"/>
              <w:jc w:val="center"/>
              <w:rPr>
                <w:sz w:val="21"/>
                <w:szCs w:val="21"/>
              </w:rPr>
            </w:pPr>
            <w:r>
              <w:rPr>
                <w:rFonts w:hint="eastAsia"/>
                <w:sz w:val="21"/>
                <w:szCs w:val="21"/>
              </w:rPr>
              <w:t>危险废物</w:t>
            </w:r>
          </w:p>
        </w:tc>
        <w:tc>
          <w:tcPr>
            <w:tcW w:w="942" w:type="dxa"/>
            <w:vAlign w:val="center"/>
          </w:tcPr>
          <w:p>
            <w:pPr>
              <w:spacing w:line="240" w:lineRule="auto"/>
              <w:ind w:firstLine="0" w:firstLineChars="0"/>
              <w:jc w:val="center"/>
              <w:rPr>
                <w:sz w:val="21"/>
                <w:szCs w:val="21"/>
              </w:rPr>
            </w:pPr>
            <w:r>
              <w:rPr>
                <w:sz w:val="21"/>
                <w:szCs w:val="21"/>
              </w:rPr>
              <w:t>废</w:t>
            </w:r>
            <w:r>
              <w:rPr>
                <w:rFonts w:hint="eastAsia"/>
                <w:sz w:val="21"/>
                <w:szCs w:val="21"/>
              </w:rPr>
              <w:t>油墨</w:t>
            </w:r>
            <w:r>
              <w:rPr>
                <w:sz w:val="21"/>
                <w:szCs w:val="21"/>
              </w:rPr>
              <w:t>桶、废活性炭</w:t>
            </w:r>
            <w:r>
              <w:rPr>
                <w:rFonts w:hint="eastAsia"/>
                <w:sz w:val="21"/>
                <w:szCs w:val="21"/>
              </w:rPr>
              <w:t>、废擦拭抹布、废油墨、废喷头清洗剂</w:t>
            </w:r>
          </w:p>
        </w:tc>
        <w:tc>
          <w:tcPr>
            <w:tcW w:w="2589" w:type="dxa"/>
            <w:vAlign w:val="center"/>
          </w:tcPr>
          <w:p>
            <w:pPr>
              <w:spacing w:line="240" w:lineRule="auto"/>
              <w:ind w:firstLine="0" w:firstLineChars="0"/>
              <w:jc w:val="center"/>
              <w:rPr>
                <w:sz w:val="21"/>
                <w:szCs w:val="21"/>
              </w:rPr>
            </w:pPr>
            <w:r>
              <w:rPr>
                <w:rFonts w:hint="eastAsia"/>
                <w:sz w:val="21"/>
                <w:szCs w:val="21"/>
              </w:rPr>
              <w:t>暂存于新建危废暂存间，定期由有资质单位处理</w:t>
            </w:r>
          </w:p>
        </w:tc>
        <w:tc>
          <w:tcPr>
            <w:tcW w:w="2100" w:type="dxa"/>
            <w:vAlign w:val="center"/>
          </w:tcPr>
          <w:p>
            <w:pPr>
              <w:spacing w:line="240" w:lineRule="auto"/>
              <w:ind w:firstLine="0" w:firstLineChars="0"/>
              <w:jc w:val="center"/>
              <w:rPr>
                <w:sz w:val="21"/>
                <w:szCs w:val="21"/>
              </w:rPr>
            </w:pPr>
            <w:r>
              <w:rPr>
                <w:rFonts w:hint="eastAsia"/>
                <w:sz w:val="21"/>
                <w:szCs w:val="21"/>
              </w:rPr>
              <w:t>暂存于新建危废暂存间，定期由</w:t>
            </w:r>
            <w:r>
              <w:rPr>
                <w:rFonts w:hint="eastAsia"/>
                <w:bCs/>
                <w:sz w:val="21"/>
                <w:szCs w:val="21"/>
              </w:rPr>
              <w:t>阜新环发废弃物处置有限公司处理。</w:t>
            </w:r>
          </w:p>
        </w:tc>
        <w:tc>
          <w:tcPr>
            <w:tcW w:w="1922" w:type="dxa"/>
            <w:vAlign w:val="center"/>
          </w:tcPr>
          <w:p>
            <w:pPr>
              <w:spacing w:line="240" w:lineRule="auto"/>
              <w:ind w:firstLine="0" w:firstLineChars="0"/>
              <w:jc w:val="center"/>
              <w:rPr>
                <w:sz w:val="21"/>
                <w:szCs w:val="21"/>
                <w:highlight w:val="yellow"/>
              </w:rPr>
            </w:pPr>
            <w:r>
              <w:rPr>
                <w:rFonts w:hint="eastAsia"/>
                <w:sz w:val="21"/>
                <w:szCs w:val="21"/>
              </w:rPr>
              <w:t>已落实</w:t>
            </w:r>
          </w:p>
        </w:tc>
      </w:tr>
    </w:tbl>
    <w:p>
      <w:pPr>
        <w:spacing w:before="72" w:after="72"/>
        <w:ind w:firstLine="480"/>
      </w:pPr>
    </w:p>
    <w:p>
      <w:pPr>
        <w:spacing w:before="72" w:after="72"/>
        <w:ind w:firstLine="480"/>
      </w:pPr>
      <w:r>
        <w:br w:type="page"/>
      </w:r>
    </w:p>
    <w:p>
      <w:pPr>
        <w:pStyle w:val="7"/>
        <w:keepNext w:val="0"/>
        <w:keepLines w:val="0"/>
        <w:widowControl w:val="0"/>
        <w:rPr>
          <w:highlight w:val="yellow"/>
        </w:rPr>
      </w:pPr>
      <w:bookmarkStart w:id="177" w:name="_Toc7244"/>
      <w:bookmarkStart w:id="178" w:name="_Toc18210"/>
      <w:bookmarkStart w:id="179" w:name="_Toc24745"/>
      <w:bookmarkStart w:id="180" w:name="_Toc14106"/>
      <w:bookmarkStart w:id="181" w:name="_Toc21472"/>
      <w:bookmarkStart w:id="182" w:name="_Toc47431946"/>
      <w:bookmarkStart w:id="183" w:name="_Toc17225"/>
      <w:r>
        <w:t>5  建设项目环境影响报告表的主要结论与建议及审批部门决定</w:t>
      </w:r>
      <w:bookmarkEnd w:id="177"/>
      <w:bookmarkEnd w:id="178"/>
      <w:bookmarkEnd w:id="179"/>
      <w:bookmarkEnd w:id="180"/>
      <w:bookmarkEnd w:id="181"/>
      <w:bookmarkEnd w:id="182"/>
      <w:bookmarkEnd w:id="183"/>
    </w:p>
    <w:p>
      <w:pPr>
        <w:pStyle w:val="8"/>
        <w:keepNext w:val="0"/>
        <w:keepLines w:val="0"/>
        <w:rPr>
          <w:color w:val="auto"/>
        </w:rPr>
      </w:pPr>
      <w:bookmarkStart w:id="184" w:name="_Toc26012"/>
      <w:bookmarkStart w:id="185" w:name="_Toc13407"/>
      <w:bookmarkStart w:id="186" w:name="_Toc2143"/>
      <w:bookmarkStart w:id="187" w:name="_Toc16717"/>
      <w:bookmarkStart w:id="188" w:name="_Toc666"/>
      <w:bookmarkStart w:id="189" w:name="_Toc739"/>
      <w:bookmarkStart w:id="190" w:name="_Toc47431947"/>
      <w:r>
        <w:rPr>
          <w:color w:val="auto"/>
        </w:rPr>
        <w:t>5.1  环境影响报告表的主要结论与建议</w:t>
      </w:r>
      <w:bookmarkEnd w:id="184"/>
      <w:bookmarkEnd w:id="185"/>
      <w:bookmarkEnd w:id="186"/>
      <w:bookmarkEnd w:id="187"/>
      <w:bookmarkEnd w:id="188"/>
      <w:bookmarkEnd w:id="189"/>
      <w:bookmarkEnd w:id="190"/>
    </w:p>
    <w:p>
      <w:pPr>
        <w:pStyle w:val="2"/>
      </w:pPr>
      <w:r>
        <w:rPr>
          <w:rFonts w:hint="eastAsia"/>
        </w:rPr>
        <w:t>一、结论</w:t>
      </w:r>
    </w:p>
    <w:p>
      <w:pPr>
        <w:pStyle w:val="2"/>
      </w:pPr>
      <w:r>
        <w:rPr>
          <w:rFonts w:hint="eastAsia"/>
        </w:rPr>
        <w:t>沈阳造币有限公司位于辽宁省沈阳市大东区大东路138号。拟投资4200万元，利用现有厂房、购置生产设备，新建彩喷机十台购置建设项目。项目建成后可年产铜合金纪念币1亿枚。</w:t>
      </w:r>
    </w:p>
    <w:p>
      <w:pPr>
        <w:pStyle w:val="2"/>
      </w:pPr>
      <w:r>
        <w:rPr>
          <w:rFonts w:hint="eastAsia"/>
        </w:rPr>
        <w:t>1、产业政策相符性结论</w:t>
      </w:r>
    </w:p>
    <w:p>
      <w:pPr>
        <w:pStyle w:val="2"/>
      </w:pPr>
      <w:r>
        <w:rPr>
          <w:rFonts w:hint="eastAsia"/>
        </w:rPr>
        <w:t>根据《产业结构调整指导目录（2019年本）》，本项目不属于产业政策中的鼓励类、限制类和淘汰类，为允许类。</w:t>
      </w:r>
    </w:p>
    <w:p>
      <w:pPr>
        <w:pStyle w:val="2"/>
      </w:pPr>
      <w:r>
        <w:rPr>
          <w:rFonts w:hint="eastAsia"/>
        </w:rPr>
        <w:t>2、项目选址合理性分析</w:t>
      </w:r>
    </w:p>
    <w:p>
      <w:pPr>
        <w:pStyle w:val="2"/>
      </w:pPr>
      <w:r>
        <w:rPr>
          <w:rFonts w:hint="eastAsia"/>
        </w:rPr>
        <w:t>本项目位于沈阳市大东区大东路138号，在沈阳造币有限公司现有材料库改造进行钞票处理中心建设，房屋用途为厂房，交通便利、水电通信等基础设施齐全，在污染物达标排放状况下，项目正常运营对周围大气环境、水环境、声环境影响较小。</w:t>
      </w:r>
    </w:p>
    <w:p>
      <w:pPr>
        <w:pStyle w:val="2"/>
      </w:pPr>
      <w:r>
        <w:rPr>
          <w:rFonts w:hint="eastAsia"/>
        </w:rPr>
        <w:t>综合分析，该项目的选址合理可行。</w:t>
      </w:r>
    </w:p>
    <w:p>
      <w:pPr>
        <w:pStyle w:val="2"/>
      </w:pPr>
      <w:r>
        <w:rPr>
          <w:rFonts w:hint="eastAsia"/>
        </w:rPr>
        <w:t>3、环境现状结论</w:t>
      </w:r>
    </w:p>
    <w:p>
      <w:pPr>
        <w:pStyle w:val="2"/>
      </w:pPr>
      <w:r>
        <w:rPr>
          <w:rFonts w:hint="eastAsia"/>
        </w:rPr>
        <w:t>大气基本污染物环境质量现状引用《2019年沈阳市环境公报》中数据及结论。根据监测数据，沈阳市2019年度空气质量公告中PM10年平均质量浓度及日平均第95百分位数质量浓度、PM2.5年平均质量浓度及日平均第95百分位数质量浓度均不达标，因此沈阳市为环境空气质量不达标区。</w:t>
      </w:r>
    </w:p>
    <w:p>
      <w:pPr>
        <w:pStyle w:val="2"/>
      </w:pPr>
      <w:r>
        <w:rPr>
          <w:rFonts w:hint="eastAsia"/>
        </w:rPr>
        <w:t>根据对项目所在区域环境空气质量的监测数据，非甲烷总烃满足《大气污染物综合排放标准详解》中的限值要求。</w:t>
      </w:r>
    </w:p>
    <w:p>
      <w:pPr>
        <w:pStyle w:val="2"/>
      </w:pPr>
      <w:r>
        <w:rPr>
          <w:rFonts w:hint="eastAsia"/>
        </w:rPr>
        <w:t>项目厂界噪声满足国家《声环境质量标准》（GB3096-2008）中的2、4a类标准。</w:t>
      </w:r>
    </w:p>
    <w:p>
      <w:pPr>
        <w:pStyle w:val="2"/>
      </w:pPr>
      <w:r>
        <w:rPr>
          <w:rFonts w:hint="eastAsia"/>
        </w:rPr>
        <w:t>根据对项目厂址及周边监测结果表明，基本因子满足《土壤环境质量建设用地土壤污染风险管控标准》（GB36600-2018）限值要求。</w:t>
      </w:r>
    </w:p>
    <w:p>
      <w:pPr>
        <w:pStyle w:val="2"/>
      </w:pPr>
      <w:r>
        <w:rPr>
          <w:rFonts w:hint="eastAsia"/>
        </w:rPr>
        <w:t>4、项目运营期污染物排放结论</w:t>
      </w:r>
    </w:p>
    <w:p>
      <w:pPr>
        <w:pStyle w:val="2"/>
      </w:pPr>
      <w:r>
        <w:rPr>
          <w:rFonts w:hint="eastAsia"/>
        </w:rPr>
        <w:t>（1）废气</w:t>
      </w:r>
    </w:p>
    <w:p>
      <w:pPr>
        <w:pStyle w:val="2"/>
      </w:pPr>
      <w:r>
        <w:rPr>
          <w:rFonts w:hint="eastAsia"/>
        </w:rPr>
        <w:t>彩喷机设置在专用密封罩中，为全封闭设计，每5台彩喷机设置在1个密闭罩；危废间、油墨存储间全封闭设计，废气经密封收集，和彩喷工艺废气共同经活性炭吸附处理，处理后由1根22m高排气筒排放。项目废气不会对周围大气环境造成明显不利影响。</w:t>
      </w:r>
    </w:p>
    <w:p>
      <w:pPr>
        <w:pStyle w:val="2"/>
      </w:pPr>
      <w:r>
        <w:rPr>
          <w:rFonts w:hint="eastAsia"/>
        </w:rPr>
        <w:t>（2）废水</w:t>
      </w:r>
    </w:p>
    <w:p>
      <w:pPr>
        <w:pStyle w:val="2"/>
      </w:pPr>
      <w:r>
        <w:rPr>
          <w:rFonts w:hint="eastAsia"/>
        </w:rPr>
        <w:t>该项目营运后不产生废水。</w:t>
      </w:r>
    </w:p>
    <w:p>
      <w:pPr>
        <w:pStyle w:val="2"/>
      </w:pPr>
      <w:r>
        <w:rPr>
          <w:rFonts w:hint="eastAsia"/>
        </w:rPr>
        <w:t>（3）噪声</w:t>
      </w:r>
    </w:p>
    <w:p>
      <w:pPr>
        <w:pStyle w:val="2"/>
      </w:pPr>
      <w:r>
        <w:rPr>
          <w:rFonts w:hint="eastAsia"/>
        </w:rPr>
        <w:t>本项目运营期间主要噪声为生产设备运行产生的噪声，噪声值大约为75~80dB（A）。为降低该项目噪声对环境的影响，企业应采取如下降噪措施：①对高噪声设备设置减振基座，并加隔音板。②加强设备的维护，确保设备处于良好的运转状态，杜绝因设备不正常运转产生的高噪声现象。本项目运营后采取低噪声设备、安装隔音板等措施并经距离衰减后厂界噪声排放能达到《工业企业厂界环境噪声排放标准》（GB12348-2008）中2类及4类标准，项目产生的噪声对声环境的影响不大。</w:t>
      </w:r>
    </w:p>
    <w:p>
      <w:pPr>
        <w:pStyle w:val="2"/>
      </w:pPr>
      <w:r>
        <w:rPr>
          <w:rFonts w:hint="eastAsia"/>
        </w:rPr>
        <w:t>（4）固体废物</w:t>
      </w:r>
    </w:p>
    <w:p>
      <w:pPr>
        <w:pStyle w:val="2"/>
      </w:pPr>
      <w:r>
        <w:rPr>
          <w:rFonts w:hint="eastAsia"/>
        </w:rPr>
        <w:t>项目产生的固体废弃物包括一般废弃物和危险废物。一般废弃物主要是废包装材料等，收集后送回收单位处理。废油墨桶、废活性炭、废擦拭抹布、废油墨、废清洗剂由有资质单位处理，本项目固体废物经分类妥善处理后，不产生二次污染，对周围环境影响较小。</w:t>
      </w:r>
    </w:p>
    <w:p>
      <w:pPr>
        <w:pStyle w:val="2"/>
      </w:pPr>
      <w:r>
        <w:rPr>
          <w:rFonts w:hint="eastAsia"/>
        </w:rPr>
        <w:t>5、总量控制结论</w:t>
      </w:r>
    </w:p>
    <w:p>
      <w:pPr>
        <w:pStyle w:val="2"/>
      </w:pPr>
      <w:r>
        <w:rPr>
          <w:rFonts w:hint="eastAsia"/>
        </w:rPr>
        <w:t>根据《辽宁省环境保护厅关于贯彻执行环保部建设项目主要污染物排放总量指标审核及管理暂行办法的通知》（辽环发【2015】17号），本项目彩喷、擦拭、原料存储、危废存储均涉及VOCs（非甲烷总烃）的产生。根据工程分析可知，本项目新增VOCs总量为0.283t/a。根据现状分析，全厂已削减VOCs总量7.5t/a，因此本项目不新增总量。</w:t>
      </w:r>
    </w:p>
    <w:p>
      <w:pPr>
        <w:pStyle w:val="2"/>
      </w:pPr>
      <w:r>
        <w:rPr>
          <w:rFonts w:hint="eastAsia"/>
        </w:rPr>
        <w:t>二、建议</w:t>
      </w:r>
    </w:p>
    <w:p>
      <w:pPr>
        <w:pStyle w:val="2"/>
      </w:pPr>
      <w:r>
        <w:rPr>
          <w:rFonts w:hint="eastAsia"/>
        </w:rPr>
        <w:t>①加强企业内部环境管理。</w:t>
      </w:r>
    </w:p>
    <w:p>
      <w:pPr>
        <w:pStyle w:val="2"/>
      </w:pPr>
      <w:r>
        <w:rPr>
          <w:rFonts w:hint="eastAsia"/>
        </w:rPr>
        <w:t>②建议在清洁生产、循环经济方面深挖潜力，增强企业的综合实力。</w:t>
      </w:r>
    </w:p>
    <w:p>
      <w:pPr>
        <w:pStyle w:val="2"/>
      </w:pPr>
      <w:r>
        <w:rPr>
          <w:rFonts w:hint="eastAsia"/>
        </w:rPr>
        <w:t>综上所述，该建设项目符合国家当前的产业政策，选址合理，建成后各污染物均可得到有效治理，对周围环境影响较小；本评价认为如果该工程严格执行本报告表提出的各项污染防治措施，加强环境管理，环境污染可得到有效控制，从环保角度分析，项目可行。</w:t>
      </w:r>
    </w:p>
    <w:p>
      <w:pPr>
        <w:pStyle w:val="8"/>
        <w:rPr>
          <w:color w:val="auto"/>
        </w:rPr>
      </w:pPr>
      <w:bookmarkStart w:id="191" w:name="_Toc14832"/>
      <w:bookmarkStart w:id="192" w:name="_Toc15087"/>
      <w:bookmarkStart w:id="193" w:name="_Toc26765"/>
      <w:bookmarkStart w:id="194" w:name="_Toc69457604"/>
      <w:r>
        <w:rPr>
          <w:color w:val="auto"/>
        </w:rPr>
        <w:t>5.2  审批部门审批决定</w:t>
      </w:r>
      <w:bookmarkEnd w:id="191"/>
      <w:bookmarkEnd w:id="192"/>
      <w:bookmarkEnd w:id="193"/>
      <w:bookmarkEnd w:id="194"/>
    </w:p>
    <w:p>
      <w:pPr>
        <w:snapToGrid w:val="0"/>
        <w:spacing w:line="580" w:lineRule="exact"/>
        <w:ind w:firstLine="2880" w:firstLineChars="1200"/>
        <w:jc w:val="right"/>
        <w:rPr>
          <w:rFonts w:ascii="方正小标宋简体" w:hAnsi="宋体" w:eastAsia="方正小标宋简体" w:cs="宋体"/>
          <w:bCs/>
        </w:rPr>
      </w:pPr>
      <w:r>
        <w:rPr>
          <w:rFonts w:hint="eastAsia" w:ascii="仿宋_GB2312" w:eastAsia="仿宋_GB2312"/>
        </w:rPr>
        <w:t>沈环大东审字[2020]057号</w:t>
      </w:r>
    </w:p>
    <w:p>
      <w:pPr>
        <w:spacing w:line="580" w:lineRule="exact"/>
        <w:ind w:firstLine="0" w:firstLineChars="0"/>
        <w:jc w:val="center"/>
        <w:rPr>
          <w:rFonts w:asciiTheme="majorEastAsia" w:hAnsiTheme="majorEastAsia" w:eastAsiaTheme="majorEastAsia" w:cstheme="majorEastAsia"/>
          <w:bCs/>
        </w:rPr>
      </w:pPr>
      <w:r>
        <w:rPr>
          <w:rFonts w:hint="eastAsia" w:asciiTheme="majorEastAsia" w:hAnsiTheme="majorEastAsia" w:eastAsiaTheme="majorEastAsia" w:cstheme="majorEastAsia"/>
          <w:bCs/>
        </w:rPr>
        <w:t>关于对沈阳造币有限公司彩喷机十台购置建设项目环境影响报告表的批复</w:t>
      </w:r>
    </w:p>
    <w:p>
      <w:pPr>
        <w:pStyle w:val="134"/>
        <w:rPr>
          <w:color w:val="auto"/>
        </w:rPr>
      </w:pPr>
    </w:p>
    <w:p>
      <w:pPr>
        <w:spacing w:line="560" w:lineRule="exact"/>
        <w:ind w:firstLine="480"/>
        <w:rPr>
          <w:rFonts w:ascii="宋体" w:hAnsi="宋体" w:cs="宋体"/>
        </w:rPr>
      </w:pPr>
      <w:r>
        <w:rPr>
          <w:rFonts w:hint="eastAsia" w:ascii="宋体" w:hAnsi="宋体" w:cs="宋体"/>
        </w:rPr>
        <w:t>沈阳造币有限公司：</w:t>
      </w:r>
    </w:p>
    <w:p>
      <w:pPr>
        <w:spacing w:line="560" w:lineRule="exact"/>
        <w:ind w:firstLine="480"/>
        <w:rPr>
          <w:rFonts w:ascii="宋体" w:hAnsi="宋体" w:cs="宋体"/>
        </w:rPr>
      </w:pPr>
      <w:r>
        <w:rPr>
          <w:rFonts w:hint="eastAsia" w:ascii="宋体" w:hAnsi="宋体" w:cs="宋体"/>
        </w:rPr>
        <w:t>你单位关于《沈阳造币有限公司彩喷机十台购置建设项目环境影响报告表》收悉，经研究，批复如下：</w:t>
      </w:r>
    </w:p>
    <w:p>
      <w:pPr>
        <w:spacing w:line="560" w:lineRule="exact"/>
        <w:ind w:firstLine="480"/>
        <w:rPr>
          <w:rFonts w:ascii="宋体" w:hAnsi="宋体" w:cs="宋体"/>
        </w:rPr>
      </w:pPr>
      <w:r>
        <w:rPr>
          <w:rFonts w:hint="eastAsia" w:ascii="宋体" w:hAnsi="宋体" w:cs="宋体"/>
        </w:rPr>
        <w:t>一、建设项目的主要建设内容：</w:t>
      </w:r>
    </w:p>
    <w:p>
      <w:pPr>
        <w:pStyle w:val="60"/>
        <w:spacing w:line="560" w:lineRule="exact"/>
        <w:ind w:firstLine="480"/>
        <w:jc w:val="both"/>
        <w:rPr>
          <w:rFonts w:ascii="宋体" w:hAnsi="宋体" w:cs="宋体"/>
          <w:szCs w:val="24"/>
        </w:rPr>
      </w:pPr>
      <w:r>
        <w:rPr>
          <w:rFonts w:hint="eastAsia" w:ascii="宋体" w:hAnsi="宋体" w:cs="宋体"/>
          <w:kern w:val="2"/>
          <w:szCs w:val="24"/>
        </w:rPr>
        <w:t>沈阳造币有限公司厂址位于沈阳市大东区大东路138号，主要产品包括流通硬币、普通纪念币、金银纪念币，全厂年产硬币75亿枚。本项目利用厂区现有厂房，新建彩喷生产线10条，开展纪念币的彩色喷印业务，年产量1亿枚。本项目投资4000万元，其中环保投资15万元。本项目共需员工20人，内部调配，不新增，年工作250天，双班制，每班8小时。项目供水、供电依托现有设施；项目冬季采用沈阳市第二热力供暖公司集中供热。</w:t>
      </w:r>
    </w:p>
    <w:p>
      <w:pPr>
        <w:spacing w:line="560" w:lineRule="exact"/>
        <w:ind w:firstLine="480"/>
        <w:rPr>
          <w:rFonts w:ascii="宋体" w:hAnsi="宋体" w:cs="宋体"/>
        </w:rPr>
      </w:pPr>
      <w:r>
        <w:rPr>
          <w:rFonts w:hint="eastAsia" w:ascii="宋体" w:hAnsi="宋体" w:cs="宋体"/>
        </w:rPr>
        <w:t>在全面落实报告表提出的各项防治生态破坏和环境污染措施的前提下，工程建筑对环境的不利影响能够得到缓解和控制。我局原则同意该项目环境影响报告书中所列建设项目的性质、规模、地点以及拟采取的环境保护措施。</w:t>
      </w:r>
    </w:p>
    <w:p>
      <w:pPr>
        <w:spacing w:line="560" w:lineRule="exact"/>
        <w:ind w:firstLine="480"/>
        <w:rPr>
          <w:rFonts w:ascii="宋体" w:hAnsi="宋体" w:cs="宋体"/>
        </w:rPr>
      </w:pPr>
      <w:r>
        <w:rPr>
          <w:rFonts w:hint="eastAsia" w:ascii="宋体" w:hAnsi="宋体" w:cs="宋体"/>
        </w:rPr>
        <w:t>二、项目建设主要环境影响</w:t>
      </w:r>
    </w:p>
    <w:p>
      <w:pPr>
        <w:spacing w:line="560" w:lineRule="exact"/>
        <w:ind w:firstLine="480"/>
        <w:rPr>
          <w:rFonts w:ascii="宋体" w:hAnsi="宋体" w:cs="宋体"/>
        </w:rPr>
      </w:pPr>
      <w:r>
        <w:rPr>
          <w:rFonts w:hint="eastAsia" w:ascii="宋体" w:hAnsi="宋体" w:cs="宋体"/>
        </w:rPr>
        <w:t>1、水环境影响</w:t>
      </w:r>
    </w:p>
    <w:p>
      <w:pPr>
        <w:spacing w:line="560" w:lineRule="exact"/>
        <w:ind w:firstLine="480"/>
        <w:rPr>
          <w:rFonts w:ascii="宋体" w:hAnsi="宋体" w:cs="宋体"/>
        </w:rPr>
      </w:pPr>
      <w:r>
        <w:rPr>
          <w:rFonts w:hint="eastAsia" w:ascii="宋体" w:hAnsi="宋体" w:cs="宋体"/>
          <w:bCs/>
        </w:rPr>
        <w:t>项目不新增员工，无生产废水及生活污水的产生</w:t>
      </w:r>
      <w:r>
        <w:rPr>
          <w:rFonts w:hint="eastAsia" w:ascii="宋体" w:hAnsi="宋体" w:cs="宋体"/>
        </w:rPr>
        <w:t>。</w:t>
      </w:r>
    </w:p>
    <w:p>
      <w:pPr>
        <w:spacing w:line="560" w:lineRule="exact"/>
        <w:ind w:firstLine="480"/>
        <w:rPr>
          <w:rFonts w:ascii="宋体" w:hAnsi="宋体" w:cs="宋体"/>
        </w:rPr>
      </w:pPr>
      <w:r>
        <w:rPr>
          <w:rFonts w:hint="eastAsia" w:ascii="宋体" w:hAnsi="宋体" w:cs="宋体"/>
        </w:rPr>
        <w:t>2、大气环境影响</w:t>
      </w:r>
    </w:p>
    <w:p>
      <w:pPr>
        <w:spacing w:line="560" w:lineRule="exact"/>
        <w:ind w:firstLine="480"/>
        <w:rPr>
          <w:rFonts w:ascii="宋体" w:hAnsi="宋体" w:cs="宋体"/>
          <w:bCs/>
        </w:rPr>
      </w:pPr>
      <w:r>
        <w:rPr>
          <w:rFonts w:hint="eastAsia" w:ascii="宋体" w:hAnsi="宋体" w:cs="宋体"/>
          <w:bCs/>
        </w:rPr>
        <w:t>项目的废气主要为彩喷、擦拭、原料库存储、危险废物存储工序中产生的非甲烷总烃。</w:t>
      </w:r>
    </w:p>
    <w:p>
      <w:pPr>
        <w:spacing w:line="560" w:lineRule="exact"/>
        <w:ind w:firstLine="480"/>
        <w:rPr>
          <w:rFonts w:ascii="宋体" w:hAnsi="宋体" w:cs="宋体"/>
        </w:rPr>
      </w:pPr>
      <w:r>
        <w:rPr>
          <w:rFonts w:hint="eastAsia" w:ascii="宋体" w:hAnsi="宋体" w:cs="宋体"/>
        </w:rPr>
        <w:t>3、声环境影响</w:t>
      </w:r>
    </w:p>
    <w:p>
      <w:pPr>
        <w:spacing w:line="560" w:lineRule="exact"/>
        <w:ind w:firstLine="480"/>
        <w:rPr>
          <w:rFonts w:ascii="宋体" w:hAnsi="宋体" w:cs="宋体"/>
        </w:rPr>
      </w:pPr>
      <w:r>
        <w:rPr>
          <w:rFonts w:hint="eastAsia" w:ascii="宋体" w:hAnsi="宋体" w:cs="宋体"/>
        </w:rPr>
        <w:t>项目运营期的噪声主要来源于生产设备。</w:t>
      </w:r>
    </w:p>
    <w:p>
      <w:pPr>
        <w:spacing w:line="560" w:lineRule="exact"/>
        <w:ind w:firstLine="480"/>
        <w:rPr>
          <w:rFonts w:ascii="宋体" w:hAnsi="宋体" w:cs="宋体"/>
        </w:rPr>
      </w:pPr>
      <w:r>
        <w:rPr>
          <w:rFonts w:hint="eastAsia" w:ascii="宋体" w:hAnsi="宋体" w:cs="宋体"/>
        </w:rPr>
        <w:t>4、固体废物对环境的影响</w:t>
      </w:r>
    </w:p>
    <w:p>
      <w:pPr>
        <w:spacing w:line="560" w:lineRule="exact"/>
        <w:ind w:firstLine="480"/>
        <w:rPr>
          <w:rFonts w:ascii="宋体" w:hAnsi="宋体" w:cs="宋体"/>
        </w:rPr>
      </w:pPr>
      <w:r>
        <w:rPr>
          <w:rFonts w:hint="eastAsia" w:ascii="宋体" w:hAnsi="宋体" w:cs="宋体"/>
          <w:bCs/>
        </w:rPr>
        <w:t>项目运营期产生的固体废物主要为</w:t>
      </w:r>
      <w:r>
        <w:rPr>
          <w:rFonts w:hint="eastAsia" w:ascii="宋体" w:hAnsi="宋体" w:cs="宋体"/>
        </w:rPr>
        <w:t>废包装、不合格品</w:t>
      </w:r>
      <w:r>
        <w:rPr>
          <w:rFonts w:hint="eastAsia" w:ascii="宋体" w:hAnsi="宋体" w:cs="宋体"/>
          <w:spacing w:val="-3"/>
        </w:rPr>
        <w:t>、废墨盒、废油墨、废喷头清洗剂、废活性炭</w:t>
      </w:r>
      <w:r>
        <w:rPr>
          <w:rFonts w:hint="eastAsia" w:ascii="宋体" w:hAnsi="宋体" w:cs="宋体"/>
          <w:spacing w:val="-5"/>
        </w:rPr>
        <w:t>等</w:t>
      </w:r>
      <w:r>
        <w:rPr>
          <w:rFonts w:hint="eastAsia" w:ascii="宋体" w:hAnsi="宋体" w:cs="宋体"/>
          <w:bCs/>
        </w:rPr>
        <w:t>。</w:t>
      </w:r>
    </w:p>
    <w:p>
      <w:pPr>
        <w:spacing w:line="560" w:lineRule="exact"/>
        <w:ind w:firstLine="480"/>
        <w:rPr>
          <w:rFonts w:ascii="宋体" w:hAnsi="宋体" w:cs="宋体"/>
        </w:rPr>
      </w:pPr>
      <w:r>
        <w:rPr>
          <w:rFonts w:hint="eastAsia" w:ascii="宋体" w:hAnsi="宋体" w:cs="宋体"/>
        </w:rPr>
        <w:t>三、减缓项目建设环境影响的主要措施</w:t>
      </w:r>
    </w:p>
    <w:p>
      <w:pPr>
        <w:spacing w:line="560" w:lineRule="exact"/>
        <w:ind w:firstLine="480"/>
        <w:rPr>
          <w:rFonts w:ascii="宋体" w:hAnsi="宋体" w:cs="宋体"/>
          <w:bCs/>
        </w:rPr>
      </w:pPr>
      <w:r>
        <w:rPr>
          <w:rFonts w:hint="eastAsia" w:ascii="宋体" w:hAnsi="宋体" w:cs="宋体"/>
          <w:bCs/>
        </w:rPr>
        <w:t>1、严格落实废气污染防治保护措施</w:t>
      </w:r>
    </w:p>
    <w:p>
      <w:pPr>
        <w:pStyle w:val="22"/>
        <w:spacing w:line="560" w:lineRule="exact"/>
        <w:ind w:firstLine="480"/>
        <w:rPr>
          <w:rFonts w:ascii="宋体" w:hAnsi="宋体" w:cs="宋体"/>
          <w:bCs/>
          <w:sz w:val="24"/>
        </w:rPr>
      </w:pPr>
      <w:r>
        <w:rPr>
          <w:rFonts w:hint="eastAsia" w:ascii="宋体" w:hAnsi="宋体" w:cs="宋体"/>
          <w:bCs/>
          <w:sz w:val="24"/>
        </w:rPr>
        <w:t>项目采用能量固化油墨，油墨VOC</w:t>
      </w:r>
      <w:r>
        <w:rPr>
          <w:rFonts w:hint="eastAsia" w:ascii="宋体" w:hAnsi="宋体" w:cs="宋体"/>
          <w:bCs/>
          <w:sz w:val="24"/>
          <w:vertAlign w:val="subscript"/>
        </w:rPr>
        <w:t>S</w:t>
      </w:r>
      <w:r>
        <w:rPr>
          <w:rFonts w:hint="eastAsia" w:ascii="宋体" w:hAnsi="宋体" w:cs="宋体"/>
          <w:bCs/>
          <w:sz w:val="24"/>
        </w:rPr>
        <w:t>的含量应不超过10%；项目10台彩喷机生产及喷头清洗过程产生的废气，采用全封闭设计的专用密封罩收集，经两级活性炭装置处理后，由22米高的排气筒排放；危废暂存间及原料库产生的废气经废气收集系统收集后，经以上同一套活性炭装置处理后排放。</w:t>
      </w:r>
      <w:r>
        <w:rPr>
          <w:rFonts w:hint="eastAsia" w:ascii="宋体" w:hAnsi="宋体" w:cs="宋体"/>
          <w:kern w:val="0"/>
          <w:sz w:val="24"/>
        </w:rPr>
        <w:t>项目产生的废气排放应满足《印刷业挥发性有机物排放标准》（DB21/3161-2019）中的排放限值要求；厂区内无组织排放浓度满足《挥发性有机物无组织排放标准》（GB37822-2019）标准限值要求。</w:t>
      </w:r>
    </w:p>
    <w:p>
      <w:pPr>
        <w:spacing w:line="560" w:lineRule="exact"/>
        <w:ind w:firstLine="480"/>
        <w:rPr>
          <w:rFonts w:ascii="宋体" w:hAnsi="宋体" w:cs="宋体"/>
          <w:bCs/>
        </w:rPr>
      </w:pPr>
      <w:r>
        <w:rPr>
          <w:rFonts w:hint="eastAsia" w:ascii="宋体" w:hAnsi="宋体" w:cs="宋体"/>
          <w:bCs/>
        </w:rPr>
        <w:t>2、严格落实噪声污染防治保护措施</w:t>
      </w:r>
    </w:p>
    <w:p>
      <w:pPr>
        <w:spacing w:line="560" w:lineRule="exact"/>
        <w:ind w:firstLine="491" w:firstLineChars="205"/>
        <w:rPr>
          <w:rFonts w:ascii="宋体" w:hAnsi="宋体" w:cs="宋体"/>
          <w:bCs/>
        </w:rPr>
      </w:pPr>
      <w:r>
        <w:rPr>
          <w:rFonts w:hint="eastAsia" w:ascii="宋体" w:hAnsi="宋体" w:cs="宋体"/>
          <w:bCs/>
        </w:rPr>
        <w:t>项目应选用低噪声设备，通过合理布局，经减振、隔声等措施降低噪声对周围环境的影响。厂界噪声排放执行《工业企业厂界环境噪声排放标准》（GB12348-2008）</w:t>
      </w:r>
      <w:r>
        <w:rPr>
          <w:rFonts w:hint="eastAsia" w:ascii="宋体" w:hAnsi="宋体" w:cs="宋体"/>
        </w:rPr>
        <w:t>中2、4a类标准要求。</w:t>
      </w:r>
    </w:p>
    <w:p>
      <w:pPr>
        <w:spacing w:line="560" w:lineRule="exact"/>
        <w:ind w:firstLine="480"/>
        <w:rPr>
          <w:rFonts w:ascii="宋体" w:hAnsi="宋体" w:cs="宋体"/>
          <w:kern w:val="0"/>
        </w:rPr>
      </w:pPr>
      <w:r>
        <w:rPr>
          <w:rFonts w:hint="eastAsia" w:ascii="宋体" w:hAnsi="宋体" w:cs="宋体"/>
        </w:rPr>
        <w:t>4、严格落实防止固体废物污染环境措施</w:t>
      </w:r>
    </w:p>
    <w:p>
      <w:pPr>
        <w:pStyle w:val="22"/>
        <w:spacing w:line="560" w:lineRule="exact"/>
        <w:ind w:firstLine="480"/>
        <w:rPr>
          <w:rFonts w:ascii="宋体" w:hAnsi="宋体" w:cs="宋体"/>
          <w:sz w:val="24"/>
        </w:rPr>
      </w:pPr>
      <w:r>
        <w:rPr>
          <w:rFonts w:hint="eastAsia" w:ascii="宋体" w:hAnsi="宋体" w:cs="宋体"/>
          <w:sz w:val="24"/>
        </w:rPr>
        <w:t>固体废物必须按照国家和地方有关规定进行分类收集和处置。</w:t>
      </w:r>
      <w:r>
        <w:rPr>
          <w:rFonts w:hint="eastAsia" w:ascii="宋体" w:hAnsi="宋体" w:cs="宋体"/>
          <w:spacing w:val="-3"/>
          <w:sz w:val="24"/>
        </w:rPr>
        <w:t>废墨盒、废油墨、废喷头清洗剂、废活性炭</w:t>
      </w:r>
      <w:r>
        <w:rPr>
          <w:rFonts w:hint="eastAsia" w:ascii="宋体" w:hAnsi="宋体" w:cs="宋体"/>
          <w:sz w:val="24"/>
        </w:rPr>
        <w:t>为危险废物，暂存于新建的危险废物暂存间内，定期委托具备处理资质的单位处置。危险废物暂存及处置执行《危险废物贮存污染控制标准》（GB18597-2001）</w:t>
      </w:r>
      <w:r>
        <w:rPr>
          <w:rFonts w:hint="eastAsia" w:ascii="宋体" w:hAnsi="宋体" w:cs="宋体"/>
          <w:bCs/>
          <w:sz w:val="24"/>
        </w:rPr>
        <w:t>及2013年修改单的要求</w:t>
      </w:r>
      <w:r>
        <w:rPr>
          <w:rFonts w:hint="eastAsia" w:ascii="宋体" w:hAnsi="宋体" w:cs="宋体"/>
          <w:sz w:val="24"/>
        </w:rPr>
        <w:t>；废包装、不合格品</w:t>
      </w:r>
      <w:r>
        <w:rPr>
          <w:rFonts w:hint="eastAsia" w:ascii="宋体" w:hAnsi="宋体" w:cs="宋体"/>
          <w:bCs/>
          <w:sz w:val="24"/>
        </w:rPr>
        <w:t>为一般工业固废，废包装收集后外售，不合格品销毁返厂</w:t>
      </w:r>
      <w:r>
        <w:rPr>
          <w:rFonts w:hint="eastAsia" w:ascii="宋体" w:hAnsi="宋体" w:cs="宋体"/>
          <w:sz w:val="24"/>
        </w:rPr>
        <w:t>。</w:t>
      </w:r>
    </w:p>
    <w:p>
      <w:pPr>
        <w:spacing w:line="560" w:lineRule="exact"/>
        <w:ind w:firstLine="480"/>
        <w:rPr>
          <w:rFonts w:ascii="宋体" w:hAnsi="宋体" w:cs="宋体"/>
        </w:rPr>
      </w:pPr>
      <w:r>
        <w:rPr>
          <w:rFonts w:hint="eastAsia" w:ascii="宋体" w:hAnsi="宋体" w:cs="宋体"/>
        </w:rPr>
        <w:t>四、环境影响报告表经批准后，该项目的性质、规模、地点、生产工艺和环境保护措施发生重大变动，且可能导致环境影响显著变化（特别是不利环境影响加重）的，应当重新报批该项目环境影响报告表。如出现信访问题，建设单位要协调解决信访问题。</w:t>
      </w:r>
    </w:p>
    <w:p>
      <w:pPr>
        <w:spacing w:line="560" w:lineRule="exact"/>
        <w:ind w:firstLine="494" w:firstLineChars="206"/>
        <w:rPr>
          <w:rFonts w:ascii="宋体" w:hAnsi="宋体" w:cs="宋体"/>
        </w:rPr>
      </w:pPr>
      <w:r>
        <w:rPr>
          <w:rFonts w:hint="eastAsia" w:ascii="宋体" w:hAnsi="宋体" w:cs="宋体"/>
        </w:rPr>
        <w:t>五、项目建设必须严格执行配套的环境保护设施与主体工程同时设计、同时施工、同时投产使用的环境保护“三同时”制度。项目建成后，须按规定程序实施竣工环境保护验收。</w:t>
      </w:r>
    </w:p>
    <w:p>
      <w:pPr>
        <w:spacing w:line="560" w:lineRule="exact"/>
        <w:ind w:firstLine="480"/>
        <w:rPr>
          <w:rFonts w:ascii="宋体" w:hAnsi="宋体" w:cs="宋体"/>
        </w:rPr>
      </w:pPr>
      <w:r>
        <w:rPr>
          <w:rFonts w:hint="eastAsia" w:ascii="宋体" w:hAnsi="宋体" w:cs="宋体"/>
        </w:rPr>
        <w:t>六、沈阳市大东生态环境分局负责该项目的环境保护监督管理工作。</w:t>
      </w:r>
    </w:p>
    <w:p>
      <w:pPr>
        <w:spacing w:line="560" w:lineRule="exact"/>
        <w:ind w:firstLine="480"/>
        <w:rPr>
          <w:rFonts w:ascii="宋体" w:hAnsi="宋体" w:cs="宋体"/>
        </w:rPr>
      </w:pPr>
    </w:p>
    <w:p>
      <w:pPr>
        <w:spacing w:line="560" w:lineRule="exact"/>
        <w:ind w:firstLine="3600" w:firstLineChars="1500"/>
        <w:rPr>
          <w:rFonts w:ascii="宋体" w:hAnsi="宋体" w:cs="宋体"/>
          <w:kern w:val="0"/>
        </w:rPr>
      </w:pPr>
      <w:r>
        <w:rPr>
          <w:rFonts w:hint="eastAsia" w:ascii="宋体" w:hAnsi="宋体" w:cs="宋体"/>
          <w:kern w:val="0"/>
        </w:rPr>
        <w:t>二0二0年十一月五日</w:t>
      </w:r>
    </w:p>
    <w:p>
      <w:pPr>
        <w:ind w:firstLine="480"/>
        <w:rPr>
          <w:rFonts w:ascii="宋体" w:hAnsi="宋体" w:cs="宋体"/>
          <w:snapToGrid w:val="0"/>
        </w:rPr>
      </w:pPr>
    </w:p>
    <w:p>
      <w:pPr>
        <w:ind w:firstLine="480"/>
        <w:rPr>
          <w:snapToGrid w:val="0"/>
        </w:rPr>
      </w:pPr>
    </w:p>
    <w:p>
      <w:pPr>
        <w:ind w:firstLine="480"/>
        <w:rPr>
          <w:snapToGrid w:val="0"/>
        </w:rPr>
      </w:pPr>
    </w:p>
    <w:p>
      <w:pPr>
        <w:ind w:firstLine="480"/>
        <w:rPr>
          <w:snapToGrid w:val="0"/>
        </w:rPr>
      </w:pPr>
      <w:r>
        <w:rPr>
          <w:snapToGrid w:val="0"/>
        </w:rPr>
        <w:br w:type="page"/>
      </w:r>
    </w:p>
    <w:p>
      <w:pPr>
        <w:pStyle w:val="7"/>
      </w:pPr>
      <w:bookmarkStart w:id="195" w:name="_Toc27714"/>
      <w:bookmarkStart w:id="196" w:name="_Toc26209"/>
      <w:bookmarkStart w:id="197" w:name="_Toc13573"/>
      <w:bookmarkStart w:id="198" w:name="_Toc711"/>
      <w:bookmarkStart w:id="199" w:name="_Toc9405"/>
      <w:bookmarkStart w:id="200" w:name="_Toc47431949"/>
      <w:bookmarkStart w:id="201" w:name="_Toc29480"/>
      <w:bookmarkStart w:id="202" w:name="_Toc11061"/>
      <w:bookmarkStart w:id="203" w:name="_Toc14833"/>
      <w:r>
        <w:t>6  验收执行标准</w:t>
      </w:r>
      <w:bookmarkEnd w:id="195"/>
      <w:bookmarkEnd w:id="196"/>
      <w:bookmarkEnd w:id="197"/>
      <w:bookmarkEnd w:id="198"/>
      <w:bookmarkEnd w:id="199"/>
      <w:bookmarkEnd w:id="200"/>
      <w:bookmarkEnd w:id="201"/>
      <w:bookmarkEnd w:id="202"/>
      <w:bookmarkEnd w:id="203"/>
    </w:p>
    <w:p>
      <w:pPr>
        <w:pStyle w:val="8"/>
        <w:rPr>
          <w:color w:val="auto"/>
        </w:rPr>
      </w:pPr>
      <w:bookmarkStart w:id="204" w:name="_Toc17867"/>
      <w:bookmarkStart w:id="205" w:name="_Toc47431950"/>
      <w:bookmarkStart w:id="206" w:name="_Toc24664"/>
      <w:bookmarkStart w:id="207" w:name="_Toc14834"/>
      <w:bookmarkStart w:id="208" w:name="_Toc20080"/>
      <w:bookmarkStart w:id="209" w:name="_Toc15998"/>
      <w:bookmarkStart w:id="210" w:name="_Toc2994"/>
      <w:bookmarkStart w:id="211" w:name="_Toc10219"/>
      <w:bookmarkStart w:id="212" w:name="_Toc31430"/>
      <w:bookmarkStart w:id="213" w:name="_Toc14255"/>
      <w:bookmarkStart w:id="214" w:name="_Toc19551"/>
      <w:r>
        <w:rPr>
          <w:color w:val="auto"/>
        </w:rPr>
        <w:t>6.1  污染物排放标准</w:t>
      </w:r>
      <w:bookmarkEnd w:id="204"/>
      <w:bookmarkEnd w:id="205"/>
      <w:bookmarkEnd w:id="206"/>
      <w:bookmarkEnd w:id="207"/>
      <w:bookmarkEnd w:id="208"/>
      <w:bookmarkEnd w:id="209"/>
      <w:bookmarkEnd w:id="210"/>
      <w:bookmarkEnd w:id="211"/>
      <w:bookmarkEnd w:id="212"/>
      <w:bookmarkEnd w:id="213"/>
      <w:bookmarkEnd w:id="214"/>
    </w:p>
    <w:p>
      <w:pPr>
        <w:pStyle w:val="9"/>
      </w:pPr>
      <w:bookmarkStart w:id="215" w:name="_Toc21677"/>
      <w:bookmarkStart w:id="216" w:name="_Toc8641"/>
      <w:bookmarkStart w:id="217" w:name="_Toc29601"/>
      <w:bookmarkStart w:id="218" w:name="_Toc28302"/>
      <w:bookmarkStart w:id="219" w:name="_Toc13998"/>
      <w:r>
        <w:t>6.1.</w:t>
      </w:r>
      <w:r>
        <w:rPr>
          <w:rFonts w:hint="eastAsia"/>
        </w:rPr>
        <w:t>1</w:t>
      </w:r>
      <w:r>
        <w:t xml:space="preserve">  废气</w:t>
      </w:r>
      <w:bookmarkEnd w:id="215"/>
      <w:bookmarkEnd w:id="216"/>
      <w:bookmarkEnd w:id="217"/>
      <w:bookmarkEnd w:id="218"/>
      <w:bookmarkEnd w:id="219"/>
    </w:p>
    <w:p>
      <w:pPr>
        <w:widowControl/>
        <w:adjustRightInd w:val="0"/>
        <w:snapToGrid w:val="0"/>
        <w:ind w:firstLine="480"/>
        <w:rPr>
          <w:kern w:val="0"/>
        </w:rPr>
      </w:pPr>
      <w:bookmarkStart w:id="220" w:name="_Toc14604"/>
      <w:bookmarkStart w:id="221" w:name="_Toc30165"/>
      <w:bookmarkStart w:id="222" w:name="_Toc15400"/>
      <w:bookmarkStart w:id="223" w:name="_Toc30531"/>
      <w:bookmarkStart w:id="224" w:name="_Toc26385"/>
      <w:bookmarkStart w:id="225" w:name="_Toc14836"/>
      <w:r>
        <w:rPr>
          <w:rFonts w:hint="eastAsia"/>
          <w:kern w:val="0"/>
        </w:rPr>
        <w:t>本项目大气污染物主要为彩喷、擦拭、原料库存储、危险废物存储工序中产生的非甲烷总烃，执行《印刷业挥发性有机物排放标准》（DB21/3161-2019）排放标准；厂区内无组织排放的非甲烷总烃执行《挥发性有机物无组织排放标准》（GB37822-2019）特别限值要求。详情见下表。</w:t>
      </w:r>
    </w:p>
    <w:p>
      <w:pPr>
        <w:pStyle w:val="58"/>
        <w:spacing w:before="240"/>
        <w:jc w:val="both"/>
      </w:pPr>
      <w:r>
        <w:t>表</w:t>
      </w:r>
      <w:r>
        <w:rPr>
          <w:rFonts w:hint="eastAsia"/>
        </w:rPr>
        <w:t>6</w:t>
      </w:r>
      <w:r>
        <w:t>.1</w:t>
      </w:r>
      <w:r>
        <w:rPr>
          <w:rFonts w:hint="eastAsia"/>
        </w:rPr>
        <w:t>-1</w:t>
      </w:r>
      <w:r>
        <w:t xml:space="preserve">                 </w:t>
      </w:r>
      <w:r>
        <w:rPr>
          <w:rFonts w:hint="eastAsia"/>
        </w:rPr>
        <w:t xml:space="preserve">   </w:t>
      </w:r>
      <w:r>
        <w:t xml:space="preserve">          </w:t>
      </w:r>
      <w:r>
        <w:rPr>
          <w:rFonts w:hint="eastAsia"/>
        </w:rPr>
        <w:t>废气</w:t>
      </w:r>
      <w:r>
        <w:t>排放标准</w:t>
      </w:r>
    </w:p>
    <w:tbl>
      <w:tblPr>
        <w:tblStyle w:val="151"/>
        <w:tblW w:w="4998"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017"/>
        <w:gridCol w:w="1598"/>
        <w:gridCol w:w="1307"/>
        <w:gridCol w:w="1454"/>
        <w:gridCol w:w="217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7" w:type="pct"/>
            <w:vAlign w:val="center"/>
          </w:tcPr>
          <w:p>
            <w:pPr>
              <w:pStyle w:val="56"/>
            </w:pPr>
            <w:r>
              <w:t>类别</w:t>
            </w:r>
          </w:p>
        </w:tc>
        <w:tc>
          <w:tcPr>
            <w:tcW w:w="565" w:type="pct"/>
            <w:vAlign w:val="center"/>
          </w:tcPr>
          <w:p>
            <w:pPr>
              <w:pStyle w:val="56"/>
            </w:pPr>
            <w:r>
              <w:t>污染物</w:t>
            </w:r>
          </w:p>
        </w:tc>
        <w:tc>
          <w:tcPr>
            <w:tcW w:w="888" w:type="pct"/>
            <w:vAlign w:val="center"/>
          </w:tcPr>
          <w:p>
            <w:pPr>
              <w:pStyle w:val="56"/>
            </w:pPr>
            <w:r>
              <w:t>最高允许排放浓度</w:t>
            </w:r>
          </w:p>
        </w:tc>
        <w:tc>
          <w:tcPr>
            <w:tcW w:w="726" w:type="pct"/>
            <w:vAlign w:val="center"/>
          </w:tcPr>
          <w:p>
            <w:pPr>
              <w:pStyle w:val="56"/>
            </w:pPr>
            <w:r>
              <w:t>最高允许排放速率</w:t>
            </w:r>
          </w:p>
        </w:tc>
        <w:tc>
          <w:tcPr>
            <w:tcW w:w="808" w:type="pct"/>
            <w:vAlign w:val="center"/>
          </w:tcPr>
          <w:p>
            <w:pPr>
              <w:pStyle w:val="56"/>
            </w:pPr>
            <w:r>
              <w:t>厂界监控点浓度限值</w:t>
            </w:r>
          </w:p>
        </w:tc>
        <w:tc>
          <w:tcPr>
            <w:tcW w:w="1207" w:type="pct"/>
            <w:vAlign w:val="center"/>
          </w:tcPr>
          <w:p>
            <w:pPr>
              <w:pStyle w:val="56"/>
            </w:pPr>
            <w:r>
              <w:t>标准来源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7" w:type="pct"/>
            <w:vAlign w:val="center"/>
          </w:tcPr>
          <w:p>
            <w:pPr>
              <w:pStyle w:val="56"/>
            </w:pPr>
            <w:r>
              <w:rPr>
                <w:rFonts w:hint="eastAsia"/>
              </w:rPr>
              <w:t>彩喷、擦拭、危废存储、原料库存储工序</w:t>
            </w:r>
          </w:p>
        </w:tc>
        <w:tc>
          <w:tcPr>
            <w:tcW w:w="565" w:type="pct"/>
            <w:vAlign w:val="center"/>
          </w:tcPr>
          <w:p>
            <w:pPr>
              <w:pStyle w:val="56"/>
            </w:pPr>
            <w:r>
              <w:t>非甲烷总烃</w:t>
            </w:r>
          </w:p>
        </w:tc>
        <w:tc>
          <w:tcPr>
            <w:tcW w:w="888" w:type="pct"/>
            <w:vAlign w:val="center"/>
          </w:tcPr>
          <w:p>
            <w:pPr>
              <w:pStyle w:val="56"/>
              <w:rPr>
                <w:kern w:val="0"/>
              </w:rPr>
            </w:pPr>
            <w:r>
              <w:rPr>
                <w:kern w:val="0"/>
              </w:rPr>
              <w:t>50</w:t>
            </w:r>
            <w:r>
              <w:t xml:space="preserve"> mg/m</w:t>
            </w:r>
            <w:r>
              <w:rPr>
                <w:vertAlign w:val="superscript"/>
              </w:rPr>
              <w:t>3</w:t>
            </w:r>
          </w:p>
        </w:tc>
        <w:tc>
          <w:tcPr>
            <w:tcW w:w="726" w:type="pct"/>
            <w:vAlign w:val="center"/>
          </w:tcPr>
          <w:p>
            <w:pPr>
              <w:pStyle w:val="56"/>
              <w:rPr>
                <w:kern w:val="0"/>
              </w:rPr>
            </w:pPr>
            <w:r>
              <w:rPr>
                <w:kern w:val="0"/>
              </w:rPr>
              <w:t>1.5</w:t>
            </w:r>
            <w:r>
              <w:t>kg/h</w:t>
            </w:r>
          </w:p>
        </w:tc>
        <w:tc>
          <w:tcPr>
            <w:tcW w:w="808" w:type="pct"/>
            <w:vAlign w:val="center"/>
          </w:tcPr>
          <w:p>
            <w:pPr>
              <w:pStyle w:val="56"/>
            </w:pPr>
            <w:r>
              <w:t>2.0 mg/m</w:t>
            </w:r>
            <w:r>
              <w:rPr>
                <w:vertAlign w:val="superscript"/>
              </w:rPr>
              <w:t>3</w:t>
            </w:r>
          </w:p>
        </w:tc>
        <w:tc>
          <w:tcPr>
            <w:tcW w:w="1207" w:type="pct"/>
            <w:vAlign w:val="center"/>
          </w:tcPr>
          <w:p>
            <w:pPr>
              <w:pStyle w:val="56"/>
            </w:pPr>
            <w:r>
              <w:rPr>
                <w:rFonts w:hint="eastAsia"/>
              </w:rPr>
              <w:t>《印刷业挥发性有机物排放标准》（DB21/3161-2019）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7" w:type="pct"/>
            <w:vMerge w:val="restart"/>
            <w:vAlign w:val="center"/>
          </w:tcPr>
          <w:p>
            <w:pPr>
              <w:pStyle w:val="56"/>
            </w:pPr>
            <w:r>
              <w:rPr>
                <w:rFonts w:hint="eastAsia"/>
              </w:rPr>
              <w:t>厂区内</w:t>
            </w:r>
          </w:p>
        </w:tc>
        <w:tc>
          <w:tcPr>
            <w:tcW w:w="565" w:type="pct"/>
            <w:vMerge w:val="restart"/>
            <w:vAlign w:val="center"/>
          </w:tcPr>
          <w:p>
            <w:pPr>
              <w:pStyle w:val="56"/>
            </w:pPr>
            <w:r>
              <w:rPr>
                <w:rFonts w:hint="eastAsia"/>
              </w:rPr>
              <w:t>非甲烷总烃</w:t>
            </w:r>
          </w:p>
        </w:tc>
        <w:tc>
          <w:tcPr>
            <w:tcW w:w="2421" w:type="pct"/>
            <w:gridSpan w:val="3"/>
            <w:vAlign w:val="center"/>
          </w:tcPr>
          <w:p>
            <w:pPr>
              <w:pStyle w:val="56"/>
              <w:rPr>
                <w:kern w:val="0"/>
              </w:rPr>
            </w:pPr>
            <w:r>
              <w:rPr>
                <w:rFonts w:hint="eastAsia"/>
                <w:kern w:val="0"/>
              </w:rPr>
              <w:t>6</w:t>
            </w:r>
            <w:r>
              <w:t xml:space="preserve"> mg/m</w:t>
            </w:r>
            <w:r>
              <w:rPr>
                <w:vertAlign w:val="superscript"/>
              </w:rPr>
              <w:t>3</w:t>
            </w:r>
            <w:r>
              <w:rPr>
                <w:rFonts w:hint="eastAsia"/>
                <w:kern w:val="0"/>
              </w:rPr>
              <w:t>（</w:t>
            </w:r>
            <w:r>
              <w:rPr>
                <w:rFonts w:hint="eastAsia"/>
              </w:rPr>
              <w:t>监控点处1h平均浓度值）</w:t>
            </w:r>
          </w:p>
        </w:tc>
        <w:tc>
          <w:tcPr>
            <w:tcW w:w="1207" w:type="pct"/>
            <w:vMerge w:val="restart"/>
            <w:vAlign w:val="center"/>
          </w:tcPr>
          <w:p>
            <w:pPr>
              <w:pStyle w:val="56"/>
            </w:pPr>
            <w:r>
              <w:rPr>
                <w:rFonts w:hint="eastAsia"/>
              </w:rPr>
              <w:t>《挥发性有机物无组织排放标准》（GB37822-2019）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7" w:type="pct"/>
            <w:vMerge w:val="continue"/>
            <w:vAlign w:val="center"/>
          </w:tcPr>
          <w:p>
            <w:pPr>
              <w:pStyle w:val="56"/>
            </w:pPr>
          </w:p>
        </w:tc>
        <w:tc>
          <w:tcPr>
            <w:tcW w:w="565" w:type="pct"/>
            <w:vMerge w:val="continue"/>
            <w:vAlign w:val="center"/>
          </w:tcPr>
          <w:p>
            <w:pPr>
              <w:pStyle w:val="56"/>
            </w:pPr>
          </w:p>
        </w:tc>
        <w:tc>
          <w:tcPr>
            <w:tcW w:w="2421" w:type="pct"/>
            <w:gridSpan w:val="3"/>
            <w:vAlign w:val="center"/>
          </w:tcPr>
          <w:p>
            <w:pPr>
              <w:pStyle w:val="56"/>
            </w:pPr>
            <w:r>
              <w:rPr>
                <w:rFonts w:hint="eastAsia"/>
                <w:kern w:val="0"/>
              </w:rPr>
              <w:t>20</w:t>
            </w:r>
            <w:r>
              <w:t xml:space="preserve"> mg/m</w:t>
            </w:r>
            <w:r>
              <w:rPr>
                <w:vertAlign w:val="superscript"/>
              </w:rPr>
              <w:t>3</w:t>
            </w:r>
            <w:r>
              <w:rPr>
                <w:rFonts w:hint="eastAsia"/>
                <w:bCs/>
              </w:rPr>
              <w:t>（监控点处任意一次浓度值）</w:t>
            </w:r>
          </w:p>
        </w:tc>
        <w:tc>
          <w:tcPr>
            <w:tcW w:w="1207" w:type="pct"/>
            <w:vMerge w:val="continue"/>
            <w:vAlign w:val="center"/>
          </w:tcPr>
          <w:p>
            <w:pPr>
              <w:pStyle w:val="56"/>
            </w:pPr>
          </w:p>
        </w:tc>
      </w:tr>
    </w:tbl>
    <w:p>
      <w:pPr>
        <w:pStyle w:val="9"/>
        <w:keepNext w:val="0"/>
        <w:keepLines w:val="0"/>
        <w:spacing w:before="240" w:beforeLines="100"/>
      </w:pPr>
      <w:r>
        <w:t>6.1.</w:t>
      </w:r>
      <w:r>
        <w:rPr>
          <w:rFonts w:hint="eastAsia"/>
        </w:rPr>
        <w:t>2</w:t>
      </w:r>
      <w:r>
        <w:t xml:space="preserve">  噪声</w:t>
      </w:r>
      <w:bookmarkEnd w:id="220"/>
      <w:bookmarkEnd w:id="221"/>
      <w:bookmarkEnd w:id="222"/>
      <w:bookmarkEnd w:id="223"/>
      <w:bookmarkEnd w:id="224"/>
      <w:bookmarkEnd w:id="225"/>
    </w:p>
    <w:p>
      <w:pPr>
        <w:widowControl/>
        <w:adjustRightInd w:val="0"/>
        <w:snapToGrid w:val="0"/>
        <w:ind w:firstLine="480"/>
        <w:rPr>
          <w:kern w:val="0"/>
        </w:rPr>
      </w:pPr>
      <w:r>
        <w:rPr>
          <w:rFonts w:hint="eastAsia"/>
          <w:kern w:val="0"/>
        </w:rPr>
        <w:t>运营期厂界噪声执行《工业企业厂界环境噪声排放标准》（GB12348-2008）</w:t>
      </w:r>
      <w:r>
        <w:rPr>
          <w:kern w:val="0"/>
        </w:rPr>
        <w:t>2</w:t>
      </w:r>
      <w:r>
        <w:rPr>
          <w:rFonts w:hint="eastAsia"/>
          <w:kern w:val="0"/>
        </w:rPr>
        <w:t>类、4类标准限值要求，详见下表。</w:t>
      </w:r>
    </w:p>
    <w:p>
      <w:pPr>
        <w:pStyle w:val="58"/>
        <w:spacing w:before="240"/>
        <w:jc w:val="both"/>
      </w:pPr>
      <w:r>
        <w:t>表</w:t>
      </w:r>
      <w:r>
        <w:rPr>
          <w:rFonts w:hint="eastAsia"/>
        </w:rPr>
        <w:t>6</w:t>
      </w:r>
      <w:r>
        <w:t>.1-</w:t>
      </w:r>
      <w:r>
        <w:rPr>
          <w:rFonts w:hint="eastAsia"/>
        </w:rPr>
        <w:t>2</w:t>
      </w:r>
      <w:r>
        <w:t xml:space="preserve">               </w:t>
      </w:r>
      <w:r>
        <w:rPr>
          <w:rFonts w:hint="eastAsia"/>
        </w:rPr>
        <w:t xml:space="preserve">    </w:t>
      </w:r>
      <w:r>
        <w:t xml:space="preserve">    工业企业厂界环境噪声排放标准</w:t>
      </w:r>
    </w:p>
    <w:tbl>
      <w:tblPr>
        <w:tblStyle w:val="151"/>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3682"/>
        <w:gridCol w:w="1843"/>
        <w:gridCol w:w="183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pct"/>
            <w:vMerge w:val="restart"/>
            <w:vAlign w:val="center"/>
          </w:tcPr>
          <w:p>
            <w:pPr>
              <w:pStyle w:val="56"/>
            </w:pPr>
            <w:r>
              <w:t>类别</w:t>
            </w:r>
          </w:p>
        </w:tc>
        <w:tc>
          <w:tcPr>
            <w:tcW w:w="2044" w:type="pct"/>
            <w:vMerge w:val="restart"/>
            <w:vAlign w:val="center"/>
          </w:tcPr>
          <w:p>
            <w:pPr>
              <w:pStyle w:val="56"/>
            </w:pPr>
            <w:r>
              <w:rPr>
                <w:rFonts w:hint="eastAsia"/>
              </w:rPr>
              <w:t>监控点位置</w:t>
            </w:r>
          </w:p>
        </w:tc>
        <w:tc>
          <w:tcPr>
            <w:tcW w:w="2044" w:type="pct"/>
            <w:gridSpan w:val="2"/>
            <w:vAlign w:val="center"/>
          </w:tcPr>
          <w:p>
            <w:pPr>
              <w:pStyle w:val="56"/>
            </w:pPr>
            <w:r>
              <w:t>标准值dB(A)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pct"/>
            <w:vMerge w:val="continue"/>
            <w:vAlign w:val="center"/>
          </w:tcPr>
          <w:p>
            <w:pPr>
              <w:pStyle w:val="56"/>
            </w:pPr>
          </w:p>
        </w:tc>
        <w:tc>
          <w:tcPr>
            <w:tcW w:w="2044" w:type="pct"/>
            <w:vMerge w:val="continue"/>
            <w:vAlign w:val="center"/>
          </w:tcPr>
          <w:p>
            <w:pPr>
              <w:pStyle w:val="56"/>
            </w:pPr>
          </w:p>
        </w:tc>
        <w:tc>
          <w:tcPr>
            <w:tcW w:w="1023" w:type="pct"/>
            <w:vAlign w:val="center"/>
          </w:tcPr>
          <w:p>
            <w:pPr>
              <w:pStyle w:val="56"/>
            </w:pPr>
            <w:r>
              <w:t>昼间</w:t>
            </w:r>
          </w:p>
        </w:tc>
        <w:tc>
          <w:tcPr>
            <w:tcW w:w="1021" w:type="pct"/>
            <w:vAlign w:val="center"/>
          </w:tcPr>
          <w:p>
            <w:pPr>
              <w:pStyle w:val="56"/>
            </w:pPr>
            <w:r>
              <w:t>夜间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pct"/>
            <w:vAlign w:val="center"/>
          </w:tcPr>
          <w:p>
            <w:pPr>
              <w:pStyle w:val="56"/>
            </w:pPr>
            <w:r>
              <w:t>2类</w:t>
            </w:r>
          </w:p>
        </w:tc>
        <w:tc>
          <w:tcPr>
            <w:tcW w:w="2044" w:type="pct"/>
            <w:vAlign w:val="center"/>
          </w:tcPr>
          <w:p>
            <w:pPr>
              <w:pStyle w:val="56"/>
            </w:pPr>
            <w:r>
              <w:rPr>
                <w:rFonts w:hint="eastAsia"/>
              </w:rPr>
              <w:t>厂区东、西、北侧</w:t>
            </w:r>
          </w:p>
        </w:tc>
        <w:tc>
          <w:tcPr>
            <w:tcW w:w="1023" w:type="pct"/>
            <w:vAlign w:val="center"/>
          </w:tcPr>
          <w:p>
            <w:pPr>
              <w:pStyle w:val="56"/>
            </w:pPr>
            <w:r>
              <w:t>60</w:t>
            </w:r>
          </w:p>
        </w:tc>
        <w:tc>
          <w:tcPr>
            <w:tcW w:w="1021" w:type="pct"/>
            <w:vAlign w:val="center"/>
          </w:tcPr>
          <w:p>
            <w:pPr>
              <w:pStyle w:val="56"/>
            </w:pPr>
            <w:r>
              <w:t>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pct"/>
            <w:vAlign w:val="center"/>
          </w:tcPr>
          <w:p>
            <w:pPr>
              <w:pStyle w:val="56"/>
            </w:pPr>
            <w:r>
              <w:t>4类</w:t>
            </w:r>
          </w:p>
        </w:tc>
        <w:tc>
          <w:tcPr>
            <w:tcW w:w="2044" w:type="pct"/>
            <w:vAlign w:val="center"/>
          </w:tcPr>
          <w:p>
            <w:pPr>
              <w:pStyle w:val="56"/>
            </w:pPr>
            <w:r>
              <w:rPr>
                <w:rFonts w:hint="eastAsia"/>
              </w:rPr>
              <w:t>厂区南侧</w:t>
            </w:r>
          </w:p>
        </w:tc>
        <w:tc>
          <w:tcPr>
            <w:tcW w:w="1023" w:type="pct"/>
            <w:vAlign w:val="center"/>
          </w:tcPr>
          <w:p>
            <w:pPr>
              <w:pStyle w:val="56"/>
            </w:pPr>
            <w:r>
              <w:t>70</w:t>
            </w:r>
          </w:p>
        </w:tc>
        <w:tc>
          <w:tcPr>
            <w:tcW w:w="1021" w:type="pct"/>
            <w:vAlign w:val="center"/>
          </w:tcPr>
          <w:p>
            <w:pPr>
              <w:pStyle w:val="56"/>
            </w:pPr>
            <w:r>
              <w:t>55</w:t>
            </w:r>
          </w:p>
        </w:tc>
      </w:tr>
    </w:tbl>
    <w:p>
      <w:pPr>
        <w:ind w:firstLine="480"/>
      </w:pPr>
    </w:p>
    <w:p>
      <w:pPr>
        <w:pStyle w:val="9"/>
        <w:keepNext w:val="0"/>
        <w:keepLines w:val="0"/>
      </w:pPr>
      <w:bookmarkStart w:id="226" w:name="_Toc7208"/>
      <w:bookmarkStart w:id="227" w:name="_Toc14838"/>
      <w:bookmarkStart w:id="228" w:name="_Toc10166"/>
      <w:bookmarkStart w:id="229" w:name="_Toc5745"/>
      <w:bookmarkStart w:id="230" w:name="_Toc15684"/>
      <w:bookmarkStart w:id="231" w:name="_Toc28996"/>
      <w:r>
        <w:t>6.1.</w:t>
      </w:r>
      <w:r>
        <w:rPr>
          <w:rFonts w:hint="eastAsia"/>
        </w:rPr>
        <w:t>3</w:t>
      </w:r>
      <w:r>
        <w:t xml:space="preserve">  固体废物</w:t>
      </w:r>
      <w:bookmarkEnd w:id="226"/>
      <w:bookmarkEnd w:id="227"/>
      <w:bookmarkEnd w:id="228"/>
      <w:bookmarkEnd w:id="229"/>
      <w:bookmarkEnd w:id="230"/>
      <w:bookmarkEnd w:id="231"/>
    </w:p>
    <w:p>
      <w:pPr>
        <w:ind w:firstLine="480"/>
      </w:pPr>
      <w:bookmarkStart w:id="232" w:name="_Toc47431951"/>
      <w:bookmarkStart w:id="233" w:name="_Toc26791"/>
      <w:bookmarkStart w:id="234" w:name="_Toc14840"/>
      <w:bookmarkStart w:id="235" w:name="_Toc13513"/>
      <w:bookmarkStart w:id="236" w:name="_Toc7112"/>
      <w:bookmarkStart w:id="237" w:name="_Toc29356"/>
      <w:bookmarkStart w:id="238" w:name="_Toc10853"/>
      <w:r>
        <w:rPr>
          <w:rFonts w:hint="eastAsia"/>
        </w:rPr>
        <w:t>一般工业固体废物执行《一般工业固体废物贮存和填埋污染控制标准》(GB18599-2020）；</w:t>
      </w:r>
    </w:p>
    <w:p>
      <w:pPr>
        <w:ind w:firstLine="480"/>
      </w:pPr>
      <w:r>
        <w:t>危险废物厂内贮存执行《危险废物贮存污染控制标准》（GB18597－2001）及国家污染物控制标准修改单（环境保护部公告，2013年第36号）</w:t>
      </w:r>
    </w:p>
    <w:p>
      <w:pPr>
        <w:pStyle w:val="8"/>
        <w:keepNext w:val="0"/>
        <w:keepLines w:val="0"/>
        <w:spacing w:before="240" w:beforeLines="100"/>
        <w:rPr>
          <w:color w:val="auto"/>
        </w:rPr>
      </w:pPr>
      <w:bookmarkStart w:id="239" w:name="_Toc28239"/>
      <w:r>
        <w:rPr>
          <w:color w:val="auto"/>
        </w:rPr>
        <w:t xml:space="preserve">6.2 </w:t>
      </w:r>
      <w:bookmarkEnd w:id="232"/>
      <w:bookmarkEnd w:id="233"/>
      <w:bookmarkEnd w:id="234"/>
      <w:bookmarkEnd w:id="235"/>
      <w:bookmarkEnd w:id="236"/>
      <w:bookmarkStart w:id="240" w:name="_Toc30539"/>
      <w:bookmarkStart w:id="241" w:name="_Toc14800"/>
      <w:bookmarkStart w:id="242" w:name="_Toc471"/>
      <w:bookmarkStart w:id="243" w:name="_Toc47431952"/>
      <w:bookmarkStart w:id="244" w:name="_Toc5398"/>
      <w:bookmarkStart w:id="245" w:name="_Toc14846"/>
      <w:bookmarkStart w:id="246" w:name="_Toc29240"/>
      <w:bookmarkStart w:id="247" w:name="_Toc22359"/>
      <w:r>
        <w:rPr>
          <w:color w:val="auto"/>
        </w:rPr>
        <w:t xml:space="preserve"> 总量控制</w:t>
      </w:r>
      <w:bookmarkEnd w:id="240"/>
      <w:bookmarkEnd w:id="241"/>
      <w:bookmarkEnd w:id="242"/>
      <w:r>
        <w:rPr>
          <w:color w:val="auto"/>
        </w:rPr>
        <w:t>指标</w:t>
      </w:r>
      <w:bookmarkEnd w:id="237"/>
      <w:bookmarkEnd w:id="238"/>
      <w:bookmarkEnd w:id="239"/>
      <w:bookmarkEnd w:id="243"/>
      <w:bookmarkEnd w:id="244"/>
      <w:bookmarkEnd w:id="245"/>
      <w:bookmarkEnd w:id="246"/>
      <w:bookmarkEnd w:id="247"/>
    </w:p>
    <w:p>
      <w:pPr>
        <w:ind w:firstLine="480"/>
      </w:pPr>
      <w:r>
        <w:rPr>
          <w:rFonts w:hint="eastAsia"/>
        </w:rPr>
        <w:t>本项目不新增员工；彩喷、擦拭、原料存储、危废存储均涉及VOCs（非甲烷总烃）的产生，本项目新增VOCs总量为0.283t/a，全厂已削减VOCs总量7.5t/a。因此本项目不新增总量，总量指标来源于厂内调剂。</w:t>
      </w:r>
    </w:p>
    <w:p>
      <w:pPr>
        <w:ind w:firstLine="480"/>
      </w:pPr>
      <w:r>
        <w:t>根据《沈阳造币有限公司彩喷机十台购置建设项目环境影响报告表》，</w:t>
      </w:r>
      <w:r>
        <w:rPr>
          <w:rFonts w:hint="eastAsia"/>
        </w:rPr>
        <w:t>本项目无总量控制指标。</w:t>
      </w:r>
    </w:p>
    <w:p>
      <w:pPr>
        <w:pStyle w:val="2"/>
      </w:pPr>
    </w:p>
    <w:p>
      <w:pPr>
        <w:spacing w:before="72" w:after="72"/>
        <w:ind w:firstLine="480"/>
        <w:rPr>
          <w:snapToGrid w:val="0"/>
        </w:rPr>
      </w:pPr>
    </w:p>
    <w:p>
      <w:pPr>
        <w:spacing w:before="72" w:after="72"/>
        <w:ind w:firstLine="480"/>
        <w:rPr>
          <w:snapToGrid w:val="0"/>
        </w:rPr>
      </w:pPr>
      <w:r>
        <w:rPr>
          <w:snapToGrid w:val="0"/>
        </w:rPr>
        <w:br w:type="page"/>
      </w:r>
    </w:p>
    <w:p>
      <w:pPr>
        <w:pStyle w:val="7"/>
        <w:keepNext w:val="0"/>
        <w:keepLines w:val="0"/>
        <w:widowControl w:val="0"/>
        <w:rPr>
          <w:b w:val="0"/>
          <w:bCs w:val="0"/>
        </w:rPr>
      </w:pPr>
      <w:bookmarkStart w:id="248" w:name="_Toc25035"/>
      <w:bookmarkStart w:id="249" w:name="_Toc26247"/>
      <w:bookmarkStart w:id="250" w:name="_Toc12860"/>
      <w:bookmarkStart w:id="251" w:name="_Toc47431953"/>
      <w:bookmarkStart w:id="252" w:name="_Toc14847"/>
      <w:bookmarkStart w:id="253" w:name="_Toc19222"/>
      <w:bookmarkStart w:id="254" w:name="_Toc14692"/>
      <w:bookmarkStart w:id="255" w:name="_Toc28676"/>
      <w:r>
        <w:t>7  验收监测内容</w:t>
      </w:r>
      <w:bookmarkEnd w:id="248"/>
      <w:bookmarkEnd w:id="249"/>
      <w:bookmarkEnd w:id="250"/>
      <w:bookmarkEnd w:id="251"/>
      <w:bookmarkEnd w:id="252"/>
      <w:bookmarkEnd w:id="253"/>
      <w:bookmarkEnd w:id="254"/>
      <w:bookmarkEnd w:id="255"/>
      <w:bookmarkStart w:id="256" w:name="_Toc14849"/>
      <w:bookmarkStart w:id="257" w:name="_Toc47431954"/>
    </w:p>
    <w:p>
      <w:pPr>
        <w:pStyle w:val="8"/>
        <w:keepNext w:val="0"/>
        <w:keepLines w:val="0"/>
        <w:rPr>
          <w:color w:val="auto"/>
        </w:rPr>
      </w:pPr>
      <w:bookmarkStart w:id="258" w:name="_Toc1050"/>
      <w:bookmarkStart w:id="259" w:name="_Toc16099"/>
      <w:bookmarkStart w:id="260" w:name="_Toc10517"/>
      <w:bookmarkStart w:id="261" w:name="_Toc3521"/>
      <w:bookmarkStart w:id="262" w:name="_Toc23267"/>
      <w:bookmarkStart w:id="263" w:name="_Toc25585"/>
      <w:r>
        <w:rPr>
          <w:color w:val="auto"/>
        </w:rPr>
        <w:t>7.</w:t>
      </w:r>
      <w:r>
        <w:rPr>
          <w:rFonts w:hint="eastAsia"/>
          <w:color w:val="auto"/>
        </w:rPr>
        <w:t>1</w:t>
      </w:r>
      <w:r>
        <w:rPr>
          <w:color w:val="auto"/>
        </w:rPr>
        <w:t xml:space="preserve">  废</w:t>
      </w:r>
      <w:bookmarkEnd w:id="256"/>
      <w:r>
        <w:rPr>
          <w:color w:val="auto"/>
        </w:rPr>
        <w:t>气</w:t>
      </w:r>
      <w:bookmarkEnd w:id="257"/>
      <w:bookmarkEnd w:id="258"/>
      <w:bookmarkEnd w:id="259"/>
      <w:bookmarkEnd w:id="260"/>
      <w:bookmarkEnd w:id="261"/>
      <w:bookmarkEnd w:id="262"/>
      <w:bookmarkEnd w:id="263"/>
    </w:p>
    <w:p>
      <w:pPr>
        <w:ind w:firstLine="480"/>
      </w:pPr>
      <w:bookmarkStart w:id="264" w:name="_Toc211840761"/>
      <w:bookmarkStart w:id="265" w:name="_Toc15759"/>
      <w:bookmarkStart w:id="266" w:name="_Toc8833"/>
      <w:bookmarkStart w:id="267" w:name="_Toc47431955"/>
      <w:bookmarkStart w:id="268" w:name="_Toc24547"/>
      <w:bookmarkStart w:id="269" w:name="_Toc9870931"/>
      <w:bookmarkStart w:id="270" w:name="_Toc26560"/>
      <w:r>
        <w:t>1、有组织废气监测</w:t>
      </w:r>
    </w:p>
    <w:p>
      <w:pPr>
        <w:ind w:firstLine="480"/>
      </w:pPr>
      <w:r>
        <w:t>①监测点位：</w:t>
      </w:r>
      <w:r>
        <w:rPr>
          <w:rFonts w:hint="eastAsia"/>
        </w:rPr>
        <w:t>排气筒进</w:t>
      </w:r>
      <w:r>
        <w:t>、出口各设1个有组织废气监测点位；</w:t>
      </w:r>
    </w:p>
    <w:p>
      <w:pPr>
        <w:ind w:firstLine="480"/>
      </w:pPr>
      <w:r>
        <w:t>②监测因子：</w:t>
      </w:r>
      <w:r>
        <w:rPr>
          <w:kern w:val="0"/>
        </w:rPr>
        <w:t>非甲烷总烃</w:t>
      </w:r>
      <w:r>
        <w:t>；</w:t>
      </w:r>
    </w:p>
    <w:p>
      <w:pPr>
        <w:ind w:firstLine="480"/>
      </w:pPr>
      <w:r>
        <w:t>③监测频次：连续监测2天，每天取样</w:t>
      </w:r>
      <w:r>
        <w:rPr>
          <w:rFonts w:hint="eastAsia"/>
        </w:rPr>
        <w:t>3</w:t>
      </w:r>
      <w:r>
        <w:t>次。</w:t>
      </w:r>
    </w:p>
    <w:p>
      <w:pPr>
        <w:spacing w:before="240" w:beforeLines="100" w:line="240" w:lineRule="auto"/>
        <w:ind w:firstLine="0" w:firstLineChars="0"/>
        <w:rPr>
          <w:rFonts w:eastAsia="黑体"/>
          <w:sz w:val="21"/>
          <w:szCs w:val="21"/>
        </w:rPr>
      </w:pPr>
      <w:r>
        <w:rPr>
          <w:rFonts w:eastAsia="黑体"/>
          <w:sz w:val="21"/>
          <w:szCs w:val="21"/>
        </w:rPr>
        <w:t>表7.1-1                        项目废气有组织排放监测布点</w:t>
      </w:r>
    </w:p>
    <w:tbl>
      <w:tblPr>
        <w:tblStyle w:val="46"/>
        <w:tblW w:w="4997"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2123"/>
        <w:gridCol w:w="1496"/>
        <w:gridCol w:w="1605"/>
        <w:gridCol w:w="265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pct"/>
            <w:vAlign w:val="center"/>
          </w:tcPr>
          <w:p>
            <w:pPr>
              <w:snapToGrid w:val="0"/>
              <w:spacing w:line="240" w:lineRule="auto"/>
              <w:ind w:firstLine="0" w:firstLineChars="0"/>
              <w:jc w:val="center"/>
              <w:rPr>
                <w:sz w:val="21"/>
                <w:szCs w:val="21"/>
              </w:rPr>
            </w:pPr>
            <w:r>
              <w:rPr>
                <w:sz w:val="21"/>
                <w:szCs w:val="21"/>
              </w:rPr>
              <w:t>序号</w:t>
            </w:r>
          </w:p>
        </w:tc>
        <w:tc>
          <w:tcPr>
            <w:tcW w:w="1179" w:type="pct"/>
            <w:vAlign w:val="center"/>
          </w:tcPr>
          <w:p>
            <w:pPr>
              <w:snapToGrid w:val="0"/>
              <w:spacing w:line="240" w:lineRule="auto"/>
              <w:ind w:firstLine="0" w:firstLineChars="0"/>
              <w:jc w:val="center"/>
              <w:rPr>
                <w:sz w:val="21"/>
                <w:szCs w:val="21"/>
              </w:rPr>
            </w:pPr>
            <w:r>
              <w:rPr>
                <w:sz w:val="21"/>
                <w:szCs w:val="21"/>
              </w:rPr>
              <w:t>位置</w:t>
            </w:r>
          </w:p>
        </w:tc>
        <w:tc>
          <w:tcPr>
            <w:tcW w:w="831" w:type="pct"/>
            <w:vAlign w:val="center"/>
          </w:tcPr>
          <w:p>
            <w:pPr>
              <w:snapToGrid w:val="0"/>
              <w:spacing w:line="240" w:lineRule="auto"/>
              <w:ind w:firstLine="0" w:firstLineChars="0"/>
              <w:jc w:val="center"/>
              <w:rPr>
                <w:sz w:val="21"/>
                <w:szCs w:val="21"/>
              </w:rPr>
            </w:pPr>
            <w:r>
              <w:rPr>
                <w:sz w:val="21"/>
                <w:szCs w:val="21"/>
              </w:rPr>
              <w:t>监测点位</w:t>
            </w:r>
          </w:p>
        </w:tc>
        <w:tc>
          <w:tcPr>
            <w:tcW w:w="891" w:type="pct"/>
            <w:vAlign w:val="center"/>
          </w:tcPr>
          <w:p>
            <w:pPr>
              <w:snapToGrid w:val="0"/>
              <w:spacing w:line="240" w:lineRule="auto"/>
              <w:ind w:firstLine="0" w:firstLineChars="0"/>
              <w:jc w:val="center"/>
              <w:rPr>
                <w:sz w:val="21"/>
                <w:szCs w:val="21"/>
              </w:rPr>
            </w:pPr>
            <w:r>
              <w:rPr>
                <w:sz w:val="21"/>
                <w:szCs w:val="21"/>
              </w:rPr>
              <w:t>监测项目</w:t>
            </w:r>
          </w:p>
        </w:tc>
        <w:tc>
          <w:tcPr>
            <w:tcW w:w="1476" w:type="pct"/>
            <w:vAlign w:val="center"/>
          </w:tcPr>
          <w:p>
            <w:pPr>
              <w:snapToGrid w:val="0"/>
              <w:spacing w:line="240" w:lineRule="auto"/>
              <w:ind w:firstLine="0" w:firstLineChars="0"/>
              <w:jc w:val="center"/>
              <w:rPr>
                <w:sz w:val="21"/>
                <w:szCs w:val="21"/>
              </w:rPr>
            </w:pPr>
            <w:r>
              <w:rPr>
                <w:sz w:val="21"/>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0" w:type="pct"/>
            <w:vAlign w:val="center"/>
          </w:tcPr>
          <w:p>
            <w:pPr>
              <w:snapToGrid w:val="0"/>
              <w:spacing w:line="240" w:lineRule="auto"/>
              <w:ind w:firstLine="0" w:firstLineChars="0"/>
              <w:jc w:val="center"/>
              <w:rPr>
                <w:sz w:val="21"/>
                <w:szCs w:val="21"/>
              </w:rPr>
            </w:pPr>
            <w:r>
              <w:rPr>
                <w:sz w:val="21"/>
                <w:szCs w:val="21"/>
              </w:rPr>
              <w:t>1</w:t>
            </w:r>
          </w:p>
        </w:tc>
        <w:tc>
          <w:tcPr>
            <w:tcW w:w="1179" w:type="pct"/>
            <w:vAlign w:val="center"/>
          </w:tcPr>
          <w:p>
            <w:pPr>
              <w:snapToGrid w:val="0"/>
              <w:spacing w:line="240" w:lineRule="auto"/>
              <w:ind w:firstLine="0" w:firstLineChars="0"/>
              <w:jc w:val="center"/>
              <w:rPr>
                <w:sz w:val="21"/>
                <w:szCs w:val="21"/>
              </w:rPr>
            </w:pPr>
            <w:r>
              <w:rPr>
                <w:rFonts w:hint="eastAsia"/>
                <w:sz w:val="21"/>
                <w:szCs w:val="21"/>
              </w:rPr>
              <w:t>排气筒</w:t>
            </w:r>
          </w:p>
        </w:tc>
        <w:tc>
          <w:tcPr>
            <w:tcW w:w="831" w:type="pct"/>
            <w:vAlign w:val="center"/>
          </w:tcPr>
          <w:p>
            <w:pPr>
              <w:snapToGrid w:val="0"/>
              <w:spacing w:line="240" w:lineRule="auto"/>
              <w:ind w:firstLine="0" w:firstLineChars="0"/>
              <w:jc w:val="center"/>
              <w:rPr>
                <w:sz w:val="21"/>
                <w:szCs w:val="21"/>
              </w:rPr>
            </w:pPr>
            <w:r>
              <w:rPr>
                <w:sz w:val="21"/>
                <w:szCs w:val="21"/>
              </w:rPr>
              <w:t>进、出口</w:t>
            </w:r>
          </w:p>
        </w:tc>
        <w:tc>
          <w:tcPr>
            <w:tcW w:w="891" w:type="pct"/>
            <w:vAlign w:val="center"/>
          </w:tcPr>
          <w:p>
            <w:pPr>
              <w:snapToGrid w:val="0"/>
              <w:spacing w:line="240" w:lineRule="auto"/>
              <w:ind w:firstLine="0" w:firstLineChars="0"/>
              <w:jc w:val="center"/>
              <w:rPr>
                <w:sz w:val="21"/>
                <w:szCs w:val="21"/>
              </w:rPr>
            </w:pPr>
            <w:r>
              <w:rPr>
                <w:sz w:val="21"/>
                <w:szCs w:val="21"/>
              </w:rPr>
              <w:t>非甲烷总烃</w:t>
            </w:r>
          </w:p>
        </w:tc>
        <w:tc>
          <w:tcPr>
            <w:tcW w:w="1476" w:type="pct"/>
            <w:vAlign w:val="center"/>
          </w:tcPr>
          <w:p>
            <w:pPr>
              <w:snapToGrid w:val="0"/>
              <w:spacing w:line="240" w:lineRule="auto"/>
              <w:ind w:firstLine="0" w:firstLineChars="0"/>
              <w:jc w:val="center"/>
              <w:rPr>
                <w:sz w:val="21"/>
                <w:szCs w:val="21"/>
              </w:rPr>
            </w:pPr>
            <w:r>
              <w:rPr>
                <w:sz w:val="21"/>
                <w:szCs w:val="21"/>
              </w:rPr>
              <w:t>连续监测2天，每天</w:t>
            </w:r>
            <w:r>
              <w:rPr>
                <w:rFonts w:hint="eastAsia"/>
                <w:sz w:val="21"/>
                <w:szCs w:val="21"/>
              </w:rPr>
              <w:t>3</w:t>
            </w:r>
            <w:r>
              <w:rPr>
                <w:sz w:val="21"/>
                <w:szCs w:val="21"/>
              </w:rPr>
              <w:t>次</w:t>
            </w:r>
          </w:p>
        </w:tc>
      </w:tr>
    </w:tbl>
    <w:p>
      <w:pPr>
        <w:spacing w:before="240" w:beforeLines="100"/>
        <w:ind w:firstLine="480"/>
      </w:pPr>
      <w:r>
        <w:t>2、无组织废气监测</w:t>
      </w:r>
    </w:p>
    <w:p>
      <w:pPr>
        <w:ind w:firstLine="480"/>
      </w:pPr>
      <w:r>
        <w:t>①监测点位：</w:t>
      </w:r>
      <w:r>
        <w:rPr>
          <w:rFonts w:hint="eastAsia"/>
        </w:rPr>
        <w:t>沈阳造币有限公司厂界外</w:t>
      </w:r>
      <w:r>
        <w:t>上风向2-50m设一个监测点位，</w:t>
      </w:r>
      <w:r>
        <w:rPr>
          <w:rFonts w:hint="eastAsia"/>
        </w:rPr>
        <w:t>厂界</w:t>
      </w:r>
      <w:r>
        <w:t>下风向2-50m设置3个监测点位</w:t>
      </w:r>
      <w:r>
        <w:rPr>
          <w:rFonts w:hint="eastAsia"/>
        </w:rPr>
        <w:t>，厂内厂房外设置1个检测点位</w:t>
      </w:r>
      <w:r>
        <w:t>。</w:t>
      </w:r>
    </w:p>
    <w:p>
      <w:pPr>
        <w:ind w:firstLine="480"/>
      </w:pPr>
      <w:r>
        <w:t>②监测因子：</w:t>
      </w:r>
      <w:r>
        <w:rPr>
          <w:kern w:val="0"/>
        </w:rPr>
        <w:t>非甲烷总烃</w:t>
      </w:r>
      <w:r>
        <w:t>；同时记录天气状况、风向、风速、气温、湿度、大气压等气象参数；</w:t>
      </w:r>
    </w:p>
    <w:p>
      <w:pPr>
        <w:ind w:firstLine="480"/>
      </w:pPr>
      <w:r>
        <w:t>③监测频次：在生产工况负荷率大于或等于75%情况下，连续监测2天，每天取样3次。</w:t>
      </w:r>
    </w:p>
    <w:p>
      <w:pPr>
        <w:spacing w:before="240" w:beforeLines="100" w:line="240" w:lineRule="auto"/>
        <w:ind w:firstLine="0" w:firstLineChars="0"/>
        <w:rPr>
          <w:rFonts w:eastAsia="黑体"/>
          <w:sz w:val="21"/>
          <w:szCs w:val="21"/>
        </w:rPr>
      </w:pPr>
      <w:r>
        <w:rPr>
          <w:rFonts w:eastAsia="黑体"/>
          <w:sz w:val="21"/>
          <w:szCs w:val="21"/>
        </w:rPr>
        <w:t>表7.1-2                      项目废气无组织排放监测布点</w:t>
      </w:r>
    </w:p>
    <w:tbl>
      <w:tblPr>
        <w:tblStyle w:val="151"/>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4"/>
        <w:gridCol w:w="1605"/>
        <w:gridCol w:w="2139"/>
        <w:gridCol w:w="1781"/>
        <w:gridCol w:w="259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2" w:type="pct"/>
            <w:gridSpan w:val="2"/>
            <w:vAlign w:val="center"/>
          </w:tcPr>
          <w:p>
            <w:pPr>
              <w:pStyle w:val="56"/>
            </w:pPr>
            <w:bookmarkStart w:id="271" w:name="_Toc26140"/>
            <w:r>
              <w:rPr>
                <w:rFonts w:hint="eastAsia"/>
              </w:rPr>
              <w:t>序号</w:t>
            </w:r>
          </w:p>
        </w:tc>
        <w:tc>
          <w:tcPr>
            <w:tcW w:w="891" w:type="pct"/>
            <w:vAlign w:val="center"/>
          </w:tcPr>
          <w:p>
            <w:pPr>
              <w:pStyle w:val="56"/>
            </w:pPr>
            <w:r>
              <w:rPr>
                <w:rFonts w:hint="eastAsia"/>
              </w:rPr>
              <w:t>废气来源</w:t>
            </w:r>
          </w:p>
        </w:tc>
        <w:tc>
          <w:tcPr>
            <w:tcW w:w="1188" w:type="pct"/>
            <w:vAlign w:val="center"/>
          </w:tcPr>
          <w:p>
            <w:pPr>
              <w:pStyle w:val="56"/>
            </w:pPr>
            <w:r>
              <w:rPr>
                <w:rFonts w:hint="eastAsia"/>
              </w:rPr>
              <w:t>监测点位</w:t>
            </w:r>
          </w:p>
        </w:tc>
        <w:tc>
          <w:tcPr>
            <w:tcW w:w="989" w:type="pct"/>
            <w:vAlign w:val="center"/>
          </w:tcPr>
          <w:p>
            <w:pPr>
              <w:pStyle w:val="56"/>
            </w:pPr>
            <w:r>
              <w:rPr>
                <w:rFonts w:hint="eastAsia"/>
              </w:rPr>
              <w:t>监测因子</w:t>
            </w:r>
          </w:p>
        </w:tc>
        <w:tc>
          <w:tcPr>
            <w:tcW w:w="1440" w:type="pct"/>
            <w:vAlign w:val="center"/>
          </w:tcPr>
          <w:p>
            <w:pPr>
              <w:pStyle w:val="56"/>
            </w:pPr>
            <w:r>
              <w:rPr>
                <w:rFonts w:hint="eastAsia"/>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Align w:val="center"/>
          </w:tcPr>
          <w:p>
            <w:pPr>
              <w:pStyle w:val="56"/>
            </w:pPr>
            <w:r>
              <w:rPr>
                <w:rFonts w:hint="eastAsia"/>
              </w:rPr>
              <w:t>1</w:t>
            </w:r>
          </w:p>
        </w:tc>
        <w:tc>
          <w:tcPr>
            <w:tcW w:w="899" w:type="pct"/>
            <w:gridSpan w:val="2"/>
            <w:vAlign w:val="center"/>
          </w:tcPr>
          <w:p>
            <w:pPr>
              <w:pStyle w:val="56"/>
            </w:pPr>
            <w:r>
              <w:rPr>
                <w:rFonts w:hint="eastAsia"/>
              </w:rPr>
              <w:t>无组织</w:t>
            </w:r>
          </w:p>
        </w:tc>
        <w:tc>
          <w:tcPr>
            <w:tcW w:w="1188" w:type="pct"/>
            <w:vAlign w:val="center"/>
          </w:tcPr>
          <w:p>
            <w:pPr>
              <w:pStyle w:val="56"/>
            </w:pPr>
            <w:r>
              <w:rPr>
                <w:rFonts w:hint="eastAsia"/>
              </w:rPr>
              <w:t>厂界上风向</w:t>
            </w:r>
            <w:r>
              <w:t>1</w:t>
            </w:r>
          </w:p>
        </w:tc>
        <w:tc>
          <w:tcPr>
            <w:tcW w:w="989" w:type="pct"/>
            <w:vMerge w:val="restart"/>
            <w:vAlign w:val="center"/>
          </w:tcPr>
          <w:p>
            <w:pPr>
              <w:pStyle w:val="56"/>
            </w:pPr>
            <w:r>
              <w:rPr>
                <w:rFonts w:hint="eastAsia"/>
              </w:rPr>
              <w:t>非甲烷总烃</w:t>
            </w:r>
          </w:p>
        </w:tc>
        <w:tc>
          <w:tcPr>
            <w:tcW w:w="1440" w:type="pct"/>
            <w:vAlign w:val="center"/>
          </w:tcPr>
          <w:p>
            <w:pPr>
              <w:pStyle w:val="56"/>
            </w:pPr>
            <w:r>
              <w:rPr>
                <w:rFonts w:hint="eastAsia"/>
              </w:rPr>
              <w:t>监测2天，3次/天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Align w:val="center"/>
          </w:tcPr>
          <w:p>
            <w:pPr>
              <w:pStyle w:val="56"/>
            </w:pPr>
            <w:r>
              <w:rPr>
                <w:rFonts w:hint="eastAsia"/>
              </w:rPr>
              <w:t>2</w:t>
            </w:r>
          </w:p>
        </w:tc>
        <w:tc>
          <w:tcPr>
            <w:tcW w:w="899" w:type="pct"/>
            <w:gridSpan w:val="2"/>
            <w:vAlign w:val="center"/>
          </w:tcPr>
          <w:p>
            <w:pPr>
              <w:pStyle w:val="56"/>
            </w:pPr>
            <w:r>
              <w:rPr>
                <w:rFonts w:hint="eastAsia"/>
              </w:rPr>
              <w:t>无组织</w:t>
            </w:r>
          </w:p>
        </w:tc>
        <w:tc>
          <w:tcPr>
            <w:tcW w:w="1188" w:type="pct"/>
            <w:vAlign w:val="center"/>
          </w:tcPr>
          <w:p>
            <w:pPr>
              <w:pStyle w:val="56"/>
            </w:pPr>
            <w:r>
              <w:rPr>
                <w:rFonts w:hint="eastAsia"/>
              </w:rPr>
              <w:t>厂界下风向</w:t>
            </w:r>
            <w:r>
              <w:t>2</w:t>
            </w:r>
          </w:p>
        </w:tc>
        <w:tc>
          <w:tcPr>
            <w:tcW w:w="989" w:type="pct"/>
            <w:vMerge w:val="continue"/>
            <w:vAlign w:val="center"/>
          </w:tcPr>
          <w:p>
            <w:pPr>
              <w:pStyle w:val="56"/>
            </w:pPr>
          </w:p>
        </w:tc>
        <w:tc>
          <w:tcPr>
            <w:tcW w:w="1440" w:type="pct"/>
            <w:vAlign w:val="center"/>
          </w:tcPr>
          <w:p>
            <w:pPr>
              <w:pStyle w:val="56"/>
            </w:pPr>
            <w:r>
              <w:rPr>
                <w:rFonts w:hint="eastAsia"/>
              </w:rPr>
              <w:t>监测2天，3次/天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Align w:val="center"/>
          </w:tcPr>
          <w:p>
            <w:pPr>
              <w:pStyle w:val="56"/>
            </w:pPr>
            <w:r>
              <w:rPr>
                <w:rFonts w:hint="eastAsia"/>
              </w:rPr>
              <w:t>3</w:t>
            </w:r>
          </w:p>
        </w:tc>
        <w:tc>
          <w:tcPr>
            <w:tcW w:w="899" w:type="pct"/>
            <w:gridSpan w:val="2"/>
            <w:vAlign w:val="center"/>
          </w:tcPr>
          <w:p>
            <w:pPr>
              <w:pStyle w:val="56"/>
            </w:pPr>
            <w:r>
              <w:rPr>
                <w:rFonts w:hint="eastAsia"/>
              </w:rPr>
              <w:t>无组织</w:t>
            </w:r>
          </w:p>
        </w:tc>
        <w:tc>
          <w:tcPr>
            <w:tcW w:w="1188" w:type="pct"/>
            <w:vAlign w:val="center"/>
          </w:tcPr>
          <w:p>
            <w:pPr>
              <w:pStyle w:val="56"/>
            </w:pPr>
            <w:r>
              <w:rPr>
                <w:rFonts w:hint="eastAsia"/>
              </w:rPr>
              <w:t>厂界下风向</w:t>
            </w:r>
            <w:r>
              <w:t>3</w:t>
            </w:r>
          </w:p>
        </w:tc>
        <w:tc>
          <w:tcPr>
            <w:tcW w:w="989" w:type="pct"/>
            <w:vMerge w:val="continue"/>
            <w:vAlign w:val="center"/>
          </w:tcPr>
          <w:p>
            <w:pPr>
              <w:pStyle w:val="56"/>
            </w:pPr>
          </w:p>
        </w:tc>
        <w:tc>
          <w:tcPr>
            <w:tcW w:w="1440" w:type="pct"/>
            <w:vAlign w:val="center"/>
          </w:tcPr>
          <w:p>
            <w:pPr>
              <w:pStyle w:val="56"/>
            </w:pPr>
            <w:r>
              <w:rPr>
                <w:rFonts w:hint="eastAsia"/>
              </w:rPr>
              <w:t>监测2天，3次/天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Align w:val="center"/>
          </w:tcPr>
          <w:p>
            <w:pPr>
              <w:pStyle w:val="56"/>
            </w:pPr>
            <w:r>
              <w:rPr>
                <w:rFonts w:hint="eastAsia"/>
              </w:rPr>
              <w:t>4</w:t>
            </w:r>
          </w:p>
        </w:tc>
        <w:tc>
          <w:tcPr>
            <w:tcW w:w="899" w:type="pct"/>
            <w:gridSpan w:val="2"/>
            <w:vAlign w:val="center"/>
          </w:tcPr>
          <w:p>
            <w:pPr>
              <w:pStyle w:val="56"/>
            </w:pPr>
            <w:r>
              <w:rPr>
                <w:rFonts w:hint="eastAsia"/>
              </w:rPr>
              <w:t>无组织</w:t>
            </w:r>
          </w:p>
        </w:tc>
        <w:tc>
          <w:tcPr>
            <w:tcW w:w="1188" w:type="pct"/>
            <w:vAlign w:val="center"/>
          </w:tcPr>
          <w:p>
            <w:pPr>
              <w:pStyle w:val="56"/>
            </w:pPr>
            <w:r>
              <w:rPr>
                <w:rFonts w:hint="eastAsia"/>
              </w:rPr>
              <w:t>厂界下风向</w:t>
            </w:r>
            <w:r>
              <w:t>4</w:t>
            </w:r>
          </w:p>
        </w:tc>
        <w:tc>
          <w:tcPr>
            <w:tcW w:w="989" w:type="pct"/>
            <w:vMerge w:val="continue"/>
            <w:vAlign w:val="center"/>
          </w:tcPr>
          <w:p>
            <w:pPr>
              <w:pStyle w:val="56"/>
            </w:pPr>
          </w:p>
        </w:tc>
        <w:tc>
          <w:tcPr>
            <w:tcW w:w="1440" w:type="pct"/>
            <w:vAlign w:val="center"/>
          </w:tcPr>
          <w:p>
            <w:pPr>
              <w:pStyle w:val="56"/>
            </w:pPr>
            <w:r>
              <w:rPr>
                <w:rFonts w:hint="eastAsia"/>
              </w:rPr>
              <w:t>监测2天，3次/天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vAlign w:val="center"/>
          </w:tcPr>
          <w:p>
            <w:pPr>
              <w:pStyle w:val="56"/>
            </w:pPr>
            <w:r>
              <w:rPr>
                <w:rFonts w:hint="eastAsia"/>
              </w:rPr>
              <w:t>5</w:t>
            </w:r>
          </w:p>
        </w:tc>
        <w:tc>
          <w:tcPr>
            <w:tcW w:w="899" w:type="pct"/>
            <w:gridSpan w:val="2"/>
            <w:vAlign w:val="center"/>
          </w:tcPr>
          <w:p>
            <w:pPr>
              <w:pStyle w:val="56"/>
            </w:pPr>
            <w:r>
              <w:rPr>
                <w:rFonts w:hint="eastAsia"/>
              </w:rPr>
              <w:t>无组织</w:t>
            </w:r>
          </w:p>
        </w:tc>
        <w:tc>
          <w:tcPr>
            <w:tcW w:w="1188" w:type="pct"/>
            <w:vAlign w:val="center"/>
          </w:tcPr>
          <w:p>
            <w:pPr>
              <w:pStyle w:val="56"/>
            </w:pPr>
            <w:r>
              <w:rPr>
                <w:rFonts w:hint="eastAsia"/>
              </w:rPr>
              <w:t>厂房外</w:t>
            </w:r>
          </w:p>
        </w:tc>
        <w:tc>
          <w:tcPr>
            <w:tcW w:w="989" w:type="pct"/>
            <w:vMerge w:val="continue"/>
            <w:vAlign w:val="center"/>
          </w:tcPr>
          <w:p>
            <w:pPr>
              <w:pStyle w:val="56"/>
            </w:pPr>
          </w:p>
        </w:tc>
        <w:tc>
          <w:tcPr>
            <w:tcW w:w="1440" w:type="pct"/>
            <w:vAlign w:val="center"/>
          </w:tcPr>
          <w:p>
            <w:pPr>
              <w:pStyle w:val="56"/>
            </w:pPr>
            <w:r>
              <w:rPr>
                <w:rFonts w:hint="eastAsia"/>
              </w:rPr>
              <w:t>监测2天，3次/天</w:t>
            </w:r>
          </w:p>
        </w:tc>
      </w:tr>
    </w:tbl>
    <w:p>
      <w:pPr>
        <w:pStyle w:val="2"/>
      </w:pPr>
    </w:p>
    <w:p>
      <w:pPr>
        <w:pStyle w:val="8"/>
        <w:keepNext w:val="0"/>
        <w:keepLines w:val="0"/>
        <w:spacing w:before="240" w:beforeLines="100"/>
        <w:rPr>
          <w:color w:val="auto"/>
        </w:rPr>
      </w:pPr>
      <w:bookmarkStart w:id="272" w:name="_Toc21183"/>
      <w:bookmarkStart w:id="273" w:name="_Toc4775"/>
      <w:r>
        <w:rPr>
          <w:color w:val="auto"/>
        </w:rPr>
        <w:t>7.2  噪声监测</w:t>
      </w:r>
      <w:bookmarkEnd w:id="264"/>
      <w:bookmarkEnd w:id="265"/>
      <w:bookmarkEnd w:id="266"/>
      <w:bookmarkEnd w:id="267"/>
      <w:bookmarkEnd w:id="268"/>
      <w:bookmarkEnd w:id="269"/>
      <w:bookmarkEnd w:id="270"/>
      <w:bookmarkEnd w:id="271"/>
      <w:bookmarkEnd w:id="272"/>
      <w:bookmarkEnd w:id="273"/>
    </w:p>
    <w:p>
      <w:pPr>
        <w:ind w:firstLine="480"/>
      </w:pPr>
      <w:r>
        <w:t>①监测点位：四周厂界各设1个噪声监测点。</w:t>
      </w:r>
    </w:p>
    <w:p>
      <w:pPr>
        <w:ind w:firstLine="480"/>
      </w:pPr>
      <w:r>
        <w:t>②监测频次：在生产工况负荷率大于或等于75%情况下，连续监测2天，每天昼夜各</w:t>
      </w:r>
      <w:r>
        <w:rPr>
          <w:rFonts w:hint="eastAsia"/>
        </w:rPr>
        <w:t>1</w:t>
      </w:r>
      <w:r>
        <w:t>次。</w:t>
      </w:r>
    </w:p>
    <w:p>
      <w:pPr>
        <w:pStyle w:val="58"/>
      </w:pPr>
      <w:r>
        <w:t>表7.1-3                               噪声监测内容</w:t>
      </w:r>
    </w:p>
    <w:tbl>
      <w:tblPr>
        <w:tblStyle w:val="46"/>
        <w:tblW w:w="873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2312"/>
        <w:gridCol w:w="2033"/>
        <w:gridCol w:w="296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Align w:val="center"/>
          </w:tcPr>
          <w:p>
            <w:pPr>
              <w:spacing w:line="240" w:lineRule="auto"/>
              <w:ind w:firstLine="0" w:firstLineChars="0"/>
              <w:jc w:val="center"/>
              <w:rPr>
                <w:sz w:val="21"/>
                <w:szCs w:val="21"/>
              </w:rPr>
            </w:pPr>
            <w:r>
              <w:rPr>
                <w:sz w:val="21"/>
                <w:szCs w:val="21"/>
              </w:rPr>
              <w:t>监测内容</w:t>
            </w:r>
          </w:p>
        </w:tc>
        <w:tc>
          <w:tcPr>
            <w:tcW w:w="2312" w:type="dxa"/>
            <w:vAlign w:val="center"/>
          </w:tcPr>
          <w:p>
            <w:pPr>
              <w:spacing w:line="240" w:lineRule="auto"/>
              <w:ind w:firstLine="0" w:firstLineChars="0"/>
              <w:jc w:val="center"/>
              <w:rPr>
                <w:sz w:val="21"/>
                <w:szCs w:val="21"/>
              </w:rPr>
            </w:pPr>
            <w:r>
              <w:rPr>
                <w:sz w:val="21"/>
                <w:szCs w:val="21"/>
              </w:rPr>
              <w:t>监测点位</w:t>
            </w:r>
          </w:p>
        </w:tc>
        <w:tc>
          <w:tcPr>
            <w:tcW w:w="2033" w:type="dxa"/>
            <w:vAlign w:val="center"/>
          </w:tcPr>
          <w:p>
            <w:pPr>
              <w:spacing w:line="240" w:lineRule="auto"/>
              <w:ind w:firstLine="0" w:firstLineChars="0"/>
              <w:jc w:val="center"/>
              <w:rPr>
                <w:sz w:val="21"/>
                <w:szCs w:val="21"/>
              </w:rPr>
            </w:pPr>
            <w:r>
              <w:rPr>
                <w:sz w:val="21"/>
                <w:szCs w:val="21"/>
              </w:rPr>
              <w:t>监测项目</w:t>
            </w:r>
          </w:p>
        </w:tc>
        <w:tc>
          <w:tcPr>
            <w:tcW w:w="2967" w:type="dxa"/>
            <w:vAlign w:val="center"/>
          </w:tcPr>
          <w:p>
            <w:pPr>
              <w:spacing w:line="240" w:lineRule="auto"/>
              <w:ind w:firstLine="0" w:firstLineChars="0"/>
              <w:jc w:val="center"/>
              <w:rPr>
                <w:sz w:val="21"/>
                <w:szCs w:val="21"/>
              </w:rPr>
            </w:pPr>
            <w:r>
              <w:rPr>
                <w:sz w:val="21"/>
                <w:szCs w:val="21"/>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restart"/>
            <w:vAlign w:val="center"/>
          </w:tcPr>
          <w:p>
            <w:pPr>
              <w:spacing w:line="240" w:lineRule="auto"/>
              <w:ind w:firstLine="0" w:firstLineChars="0"/>
              <w:jc w:val="center"/>
              <w:rPr>
                <w:sz w:val="21"/>
                <w:szCs w:val="21"/>
              </w:rPr>
            </w:pPr>
            <w:r>
              <w:rPr>
                <w:sz w:val="21"/>
                <w:szCs w:val="21"/>
              </w:rPr>
              <w:t>厂界噪声</w:t>
            </w:r>
          </w:p>
        </w:tc>
        <w:tc>
          <w:tcPr>
            <w:tcW w:w="2312" w:type="dxa"/>
            <w:vAlign w:val="center"/>
          </w:tcPr>
          <w:p>
            <w:pPr>
              <w:spacing w:line="240" w:lineRule="auto"/>
              <w:ind w:firstLine="0" w:firstLineChars="0"/>
              <w:jc w:val="center"/>
              <w:rPr>
                <w:sz w:val="21"/>
                <w:szCs w:val="21"/>
              </w:rPr>
            </w:pPr>
            <w:r>
              <w:rPr>
                <w:sz w:val="21"/>
                <w:szCs w:val="21"/>
              </w:rPr>
              <w:t>项目东侧边界</w:t>
            </w:r>
          </w:p>
        </w:tc>
        <w:tc>
          <w:tcPr>
            <w:tcW w:w="2033" w:type="dxa"/>
            <w:vAlign w:val="center"/>
          </w:tcPr>
          <w:p>
            <w:pPr>
              <w:spacing w:line="240" w:lineRule="auto"/>
              <w:ind w:firstLine="0" w:firstLineChars="0"/>
              <w:jc w:val="center"/>
              <w:rPr>
                <w:sz w:val="21"/>
                <w:szCs w:val="21"/>
              </w:rPr>
            </w:pPr>
            <w:r>
              <w:rPr>
                <w:sz w:val="21"/>
                <w:szCs w:val="21"/>
              </w:rPr>
              <w:t>边界噪声</w:t>
            </w:r>
          </w:p>
        </w:tc>
        <w:tc>
          <w:tcPr>
            <w:tcW w:w="2967" w:type="dxa"/>
            <w:vMerge w:val="restart"/>
            <w:vAlign w:val="center"/>
          </w:tcPr>
          <w:p>
            <w:pPr>
              <w:spacing w:line="240" w:lineRule="auto"/>
              <w:ind w:firstLine="0" w:firstLineChars="0"/>
              <w:jc w:val="center"/>
              <w:rPr>
                <w:sz w:val="21"/>
                <w:szCs w:val="21"/>
              </w:rPr>
            </w:pPr>
            <w:r>
              <w:rPr>
                <w:sz w:val="21"/>
                <w:szCs w:val="21"/>
              </w:rPr>
              <w:t>连续监测2天，每天昼、夜间各监测</w:t>
            </w:r>
            <w:r>
              <w:rPr>
                <w:rFonts w:hint="eastAsia"/>
                <w:sz w:val="21"/>
                <w:szCs w:val="21"/>
              </w:rPr>
              <w:t>1</w:t>
            </w:r>
            <w:r>
              <w:rPr>
                <w:sz w:val="21"/>
                <w:szCs w:val="21"/>
              </w:rPr>
              <w:t>个次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vAlign w:val="center"/>
          </w:tcPr>
          <w:p>
            <w:pPr>
              <w:spacing w:line="240" w:lineRule="auto"/>
              <w:ind w:firstLine="0" w:firstLineChars="0"/>
              <w:jc w:val="center"/>
              <w:rPr>
                <w:sz w:val="21"/>
                <w:szCs w:val="21"/>
              </w:rPr>
            </w:pPr>
          </w:p>
        </w:tc>
        <w:tc>
          <w:tcPr>
            <w:tcW w:w="2312" w:type="dxa"/>
            <w:vAlign w:val="center"/>
          </w:tcPr>
          <w:p>
            <w:pPr>
              <w:spacing w:line="240" w:lineRule="auto"/>
              <w:ind w:firstLine="0" w:firstLineChars="0"/>
              <w:jc w:val="center"/>
              <w:rPr>
                <w:sz w:val="21"/>
                <w:szCs w:val="21"/>
              </w:rPr>
            </w:pPr>
            <w:r>
              <w:rPr>
                <w:sz w:val="21"/>
                <w:szCs w:val="21"/>
              </w:rPr>
              <w:t>项目南侧边界</w:t>
            </w:r>
          </w:p>
        </w:tc>
        <w:tc>
          <w:tcPr>
            <w:tcW w:w="2033" w:type="dxa"/>
            <w:vAlign w:val="center"/>
          </w:tcPr>
          <w:p>
            <w:pPr>
              <w:spacing w:line="240" w:lineRule="auto"/>
              <w:ind w:firstLine="0" w:firstLineChars="0"/>
              <w:jc w:val="center"/>
              <w:rPr>
                <w:sz w:val="21"/>
                <w:szCs w:val="21"/>
              </w:rPr>
            </w:pPr>
            <w:r>
              <w:rPr>
                <w:sz w:val="21"/>
                <w:szCs w:val="21"/>
              </w:rPr>
              <w:t>边界噪声</w:t>
            </w:r>
          </w:p>
        </w:tc>
        <w:tc>
          <w:tcPr>
            <w:tcW w:w="2967" w:type="dxa"/>
            <w:vMerge w:val="continue"/>
            <w:vAlign w:val="center"/>
          </w:tcPr>
          <w:p>
            <w:pPr>
              <w:spacing w:line="240" w:lineRule="auto"/>
              <w:ind w:firstLine="0" w:firstLineChars="0"/>
              <w:jc w:val="center"/>
              <w:rPr>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vAlign w:val="center"/>
          </w:tcPr>
          <w:p>
            <w:pPr>
              <w:spacing w:line="240" w:lineRule="auto"/>
              <w:ind w:firstLine="0" w:firstLineChars="0"/>
              <w:jc w:val="center"/>
              <w:rPr>
                <w:sz w:val="21"/>
                <w:szCs w:val="21"/>
              </w:rPr>
            </w:pPr>
          </w:p>
        </w:tc>
        <w:tc>
          <w:tcPr>
            <w:tcW w:w="2312" w:type="dxa"/>
            <w:vAlign w:val="center"/>
          </w:tcPr>
          <w:p>
            <w:pPr>
              <w:spacing w:line="240" w:lineRule="auto"/>
              <w:ind w:firstLine="0" w:firstLineChars="0"/>
              <w:jc w:val="center"/>
              <w:rPr>
                <w:sz w:val="21"/>
                <w:szCs w:val="21"/>
              </w:rPr>
            </w:pPr>
            <w:r>
              <w:rPr>
                <w:sz w:val="21"/>
                <w:szCs w:val="21"/>
              </w:rPr>
              <w:t>项目西侧边界</w:t>
            </w:r>
          </w:p>
        </w:tc>
        <w:tc>
          <w:tcPr>
            <w:tcW w:w="2033" w:type="dxa"/>
            <w:vAlign w:val="center"/>
          </w:tcPr>
          <w:p>
            <w:pPr>
              <w:spacing w:line="240" w:lineRule="auto"/>
              <w:ind w:firstLine="0" w:firstLineChars="0"/>
              <w:jc w:val="center"/>
              <w:rPr>
                <w:sz w:val="21"/>
                <w:szCs w:val="21"/>
              </w:rPr>
            </w:pPr>
            <w:r>
              <w:rPr>
                <w:sz w:val="21"/>
                <w:szCs w:val="21"/>
              </w:rPr>
              <w:t>边界噪声</w:t>
            </w:r>
          </w:p>
        </w:tc>
        <w:tc>
          <w:tcPr>
            <w:tcW w:w="2967" w:type="dxa"/>
            <w:vMerge w:val="continue"/>
            <w:vAlign w:val="center"/>
          </w:tcPr>
          <w:p>
            <w:pPr>
              <w:spacing w:line="240" w:lineRule="auto"/>
              <w:ind w:firstLine="0" w:firstLineChars="0"/>
              <w:jc w:val="center"/>
              <w:rPr>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Merge w:val="continue"/>
            <w:vAlign w:val="center"/>
          </w:tcPr>
          <w:p>
            <w:pPr>
              <w:spacing w:line="240" w:lineRule="auto"/>
              <w:ind w:firstLine="0" w:firstLineChars="0"/>
              <w:jc w:val="center"/>
              <w:rPr>
                <w:sz w:val="21"/>
                <w:szCs w:val="21"/>
              </w:rPr>
            </w:pPr>
          </w:p>
        </w:tc>
        <w:tc>
          <w:tcPr>
            <w:tcW w:w="2312" w:type="dxa"/>
            <w:vAlign w:val="center"/>
          </w:tcPr>
          <w:p>
            <w:pPr>
              <w:spacing w:line="240" w:lineRule="auto"/>
              <w:ind w:firstLine="0" w:firstLineChars="0"/>
              <w:jc w:val="center"/>
              <w:rPr>
                <w:sz w:val="21"/>
                <w:szCs w:val="21"/>
              </w:rPr>
            </w:pPr>
            <w:r>
              <w:rPr>
                <w:sz w:val="21"/>
                <w:szCs w:val="21"/>
              </w:rPr>
              <w:t>项目北侧边界</w:t>
            </w:r>
          </w:p>
        </w:tc>
        <w:tc>
          <w:tcPr>
            <w:tcW w:w="2033" w:type="dxa"/>
            <w:vAlign w:val="center"/>
          </w:tcPr>
          <w:p>
            <w:pPr>
              <w:spacing w:line="240" w:lineRule="auto"/>
              <w:ind w:firstLine="0" w:firstLineChars="0"/>
              <w:jc w:val="center"/>
              <w:rPr>
                <w:sz w:val="21"/>
                <w:szCs w:val="21"/>
              </w:rPr>
            </w:pPr>
            <w:r>
              <w:rPr>
                <w:sz w:val="21"/>
                <w:szCs w:val="21"/>
              </w:rPr>
              <w:t>边界噪声</w:t>
            </w:r>
          </w:p>
        </w:tc>
        <w:tc>
          <w:tcPr>
            <w:tcW w:w="2967" w:type="dxa"/>
            <w:vMerge w:val="continue"/>
            <w:vAlign w:val="center"/>
          </w:tcPr>
          <w:p>
            <w:pPr>
              <w:spacing w:line="240" w:lineRule="auto"/>
              <w:ind w:firstLine="0" w:firstLineChars="0"/>
              <w:jc w:val="center"/>
              <w:rPr>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8" w:type="dxa"/>
            <w:vAlign w:val="center"/>
          </w:tcPr>
          <w:p>
            <w:pPr>
              <w:spacing w:line="240" w:lineRule="auto"/>
              <w:ind w:firstLine="0" w:firstLineChars="0"/>
              <w:jc w:val="center"/>
              <w:rPr>
                <w:sz w:val="21"/>
                <w:szCs w:val="21"/>
              </w:rPr>
            </w:pPr>
            <w:r>
              <w:rPr>
                <w:rFonts w:hint="eastAsia"/>
                <w:sz w:val="21"/>
                <w:szCs w:val="21"/>
              </w:rPr>
              <w:t>敏感点</w:t>
            </w:r>
          </w:p>
        </w:tc>
        <w:tc>
          <w:tcPr>
            <w:tcW w:w="2312" w:type="dxa"/>
            <w:vAlign w:val="center"/>
          </w:tcPr>
          <w:p>
            <w:pPr>
              <w:spacing w:line="240" w:lineRule="auto"/>
              <w:ind w:firstLine="0" w:firstLineChars="0"/>
              <w:jc w:val="center"/>
              <w:rPr>
                <w:sz w:val="21"/>
                <w:szCs w:val="21"/>
              </w:rPr>
            </w:pPr>
            <w:r>
              <w:rPr>
                <w:rFonts w:hint="eastAsia"/>
                <w:sz w:val="21"/>
                <w:szCs w:val="21"/>
              </w:rPr>
              <w:t>民强小区</w:t>
            </w:r>
          </w:p>
        </w:tc>
        <w:tc>
          <w:tcPr>
            <w:tcW w:w="2033" w:type="dxa"/>
            <w:vAlign w:val="center"/>
          </w:tcPr>
          <w:p>
            <w:pPr>
              <w:spacing w:line="240" w:lineRule="auto"/>
              <w:ind w:firstLine="0" w:firstLineChars="0"/>
              <w:jc w:val="center"/>
              <w:rPr>
                <w:sz w:val="21"/>
                <w:szCs w:val="21"/>
              </w:rPr>
            </w:pPr>
            <w:r>
              <w:rPr>
                <w:rFonts w:hint="eastAsia"/>
                <w:sz w:val="21"/>
                <w:szCs w:val="21"/>
              </w:rPr>
              <w:t>环境噪声</w:t>
            </w:r>
          </w:p>
        </w:tc>
        <w:tc>
          <w:tcPr>
            <w:tcW w:w="2967" w:type="dxa"/>
            <w:vMerge w:val="continue"/>
            <w:vAlign w:val="center"/>
          </w:tcPr>
          <w:p>
            <w:pPr>
              <w:spacing w:line="240" w:lineRule="auto"/>
              <w:ind w:firstLine="0" w:firstLineChars="0"/>
              <w:jc w:val="center"/>
              <w:rPr>
                <w:sz w:val="21"/>
                <w:szCs w:val="21"/>
              </w:rPr>
            </w:pPr>
          </w:p>
        </w:tc>
      </w:tr>
    </w:tbl>
    <w:p>
      <w:pPr>
        <w:spacing w:line="240" w:lineRule="auto"/>
        <w:ind w:firstLine="0" w:firstLineChars="0"/>
        <w:jc w:val="center"/>
        <w:rPr>
          <w:b/>
          <w:bCs/>
          <w:sz w:val="21"/>
          <w:szCs w:val="21"/>
        </w:rPr>
      </w:pPr>
    </w:p>
    <w:p>
      <w:pPr>
        <w:pStyle w:val="60"/>
        <w:ind w:firstLine="480"/>
      </w:pPr>
      <w:bookmarkStart w:id="274" w:name="_Toc47431957"/>
      <w:bookmarkStart w:id="275" w:name="_Toc15614"/>
      <w:bookmarkStart w:id="276" w:name="_Toc14855"/>
      <w:r>
        <w:br w:type="page"/>
      </w:r>
    </w:p>
    <w:p>
      <w:pPr>
        <w:pStyle w:val="7"/>
        <w:keepNext w:val="0"/>
        <w:keepLines w:val="0"/>
        <w:widowControl w:val="0"/>
      </w:pPr>
      <w:bookmarkStart w:id="277" w:name="_Toc12855"/>
      <w:bookmarkStart w:id="278" w:name="_Toc9084"/>
      <w:bookmarkStart w:id="279" w:name="_Toc27230"/>
      <w:bookmarkStart w:id="280" w:name="_Toc641"/>
      <w:bookmarkStart w:id="281" w:name="_Toc31762"/>
      <w:bookmarkStart w:id="282" w:name="_Toc3642"/>
      <w:r>
        <w:t>8  质量保证和质量控制</w:t>
      </w:r>
      <w:bookmarkEnd w:id="274"/>
      <w:bookmarkEnd w:id="275"/>
      <w:bookmarkEnd w:id="276"/>
      <w:bookmarkEnd w:id="277"/>
      <w:bookmarkEnd w:id="278"/>
      <w:bookmarkEnd w:id="279"/>
      <w:bookmarkEnd w:id="280"/>
      <w:bookmarkEnd w:id="281"/>
      <w:bookmarkEnd w:id="282"/>
    </w:p>
    <w:p>
      <w:pPr>
        <w:pStyle w:val="8"/>
        <w:rPr>
          <w:color w:val="auto"/>
        </w:rPr>
      </w:pPr>
      <w:bookmarkStart w:id="283" w:name="_Toc10742"/>
      <w:bookmarkStart w:id="284" w:name="_Toc38"/>
      <w:bookmarkStart w:id="285" w:name="_Toc12157"/>
      <w:bookmarkStart w:id="286" w:name="_Toc21728"/>
      <w:bookmarkStart w:id="287" w:name="_Toc16"/>
      <w:bookmarkStart w:id="288" w:name="_Toc30665"/>
      <w:bookmarkStart w:id="289" w:name="_Toc5314"/>
      <w:bookmarkStart w:id="290" w:name="_Toc872"/>
      <w:bookmarkStart w:id="291" w:name="_Toc47431958"/>
      <w:bookmarkStart w:id="292" w:name="_Toc23689"/>
      <w:bookmarkStart w:id="293" w:name="_Toc9943"/>
      <w:bookmarkStart w:id="294" w:name="_Toc12758"/>
      <w:r>
        <w:rPr>
          <w:color w:val="auto"/>
        </w:rPr>
        <w:t>8.1  监测分析方法和监测仪器</w:t>
      </w:r>
      <w:bookmarkEnd w:id="283"/>
      <w:bookmarkEnd w:id="284"/>
      <w:bookmarkEnd w:id="285"/>
      <w:bookmarkEnd w:id="286"/>
      <w:bookmarkEnd w:id="287"/>
      <w:bookmarkEnd w:id="288"/>
      <w:bookmarkEnd w:id="289"/>
      <w:bookmarkEnd w:id="290"/>
      <w:bookmarkEnd w:id="291"/>
      <w:bookmarkEnd w:id="292"/>
      <w:bookmarkEnd w:id="293"/>
      <w:bookmarkEnd w:id="294"/>
    </w:p>
    <w:p>
      <w:pPr>
        <w:pStyle w:val="58"/>
        <w:rPr>
          <w:bCs/>
          <w:szCs w:val="21"/>
        </w:rPr>
      </w:pPr>
      <w:r>
        <w:t>表8.1-1                          检测项目及分析方法依据</w:t>
      </w:r>
    </w:p>
    <w:tbl>
      <w:tblPr>
        <w:tblStyle w:val="46"/>
        <w:tblW w:w="5000"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862"/>
        <w:gridCol w:w="1112"/>
        <w:gridCol w:w="3989"/>
        <w:gridCol w:w="1863"/>
        <w:gridCol w:w="956"/>
        <w:gridCol w:w="36"/>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gridAfter w:val="1"/>
          <w:wAfter w:w="29" w:type="pct"/>
          <w:trHeight w:val="340" w:hRule="atLeast"/>
          <w:tblHeader/>
          <w:jc w:val="center"/>
        </w:trPr>
        <w:tc>
          <w:tcPr>
            <w:tcW w:w="496" w:type="pct"/>
            <w:vAlign w:val="center"/>
          </w:tcPr>
          <w:p>
            <w:pPr>
              <w:pStyle w:val="56"/>
            </w:pPr>
            <w:r>
              <w:t>序号</w:t>
            </w:r>
          </w:p>
        </w:tc>
        <w:tc>
          <w:tcPr>
            <w:tcW w:w="638" w:type="pct"/>
            <w:vAlign w:val="center"/>
          </w:tcPr>
          <w:p>
            <w:pPr>
              <w:pStyle w:val="56"/>
            </w:pPr>
            <w:r>
              <w:rPr>
                <w:kern w:val="0"/>
              </w:rPr>
              <w:t>检测项目</w:t>
            </w:r>
          </w:p>
        </w:tc>
        <w:tc>
          <w:tcPr>
            <w:tcW w:w="2269" w:type="pct"/>
            <w:vAlign w:val="center"/>
          </w:tcPr>
          <w:p>
            <w:pPr>
              <w:pStyle w:val="56"/>
            </w:pPr>
            <w:r>
              <w:rPr>
                <w:kern w:val="0"/>
              </w:rPr>
              <w:t>方法标准</w:t>
            </w:r>
          </w:p>
        </w:tc>
        <w:tc>
          <w:tcPr>
            <w:tcW w:w="1064" w:type="pct"/>
            <w:vAlign w:val="center"/>
          </w:tcPr>
          <w:p>
            <w:pPr>
              <w:pStyle w:val="56"/>
            </w:pPr>
            <w:r>
              <w:rPr>
                <w:kern w:val="0"/>
              </w:rPr>
              <w:t>主要仪器设备</w:t>
            </w:r>
          </w:p>
        </w:tc>
        <w:tc>
          <w:tcPr>
            <w:tcW w:w="506" w:type="pct"/>
            <w:vAlign w:val="center"/>
          </w:tcPr>
          <w:p>
            <w:pPr>
              <w:pStyle w:val="56"/>
              <w:rPr>
                <w:kern w:val="0"/>
              </w:rPr>
            </w:pPr>
            <w:r>
              <w:rPr>
                <w:kern w:val="0"/>
              </w:rPr>
              <w:t>检出限</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gridAfter w:val="1"/>
          <w:wAfter w:w="29" w:type="pct"/>
          <w:trHeight w:val="340" w:hRule="atLeast"/>
          <w:jc w:val="center"/>
        </w:trPr>
        <w:tc>
          <w:tcPr>
            <w:tcW w:w="496" w:type="pct"/>
            <w:vAlign w:val="center"/>
          </w:tcPr>
          <w:p>
            <w:pPr>
              <w:pStyle w:val="56"/>
            </w:pPr>
            <w:r>
              <w:t>1</w:t>
            </w:r>
          </w:p>
        </w:tc>
        <w:tc>
          <w:tcPr>
            <w:tcW w:w="638" w:type="pct"/>
            <w:vAlign w:val="center"/>
          </w:tcPr>
          <w:p>
            <w:pPr>
              <w:pStyle w:val="56"/>
            </w:pPr>
            <w:r>
              <w:t>非甲烷总烃</w:t>
            </w:r>
            <w:r>
              <w:rPr>
                <w:rFonts w:hint="eastAsia"/>
              </w:rPr>
              <w:t>（无组织）</w:t>
            </w:r>
          </w:p>
        </w:tc>
        <w:tc>
          <w:tcPr>
            <w:tcW w:w="2269" w:type="pct"/>
            <w:vAlign w:val="center"/>
          </w:tcPr>
          <w:p>
            <w:pPr>
              <w:pStyle w:val="56"/>
              <w:rPr>
                <w:kern w:val="0"/>
              </w:rPr>
            </w:pPr>
            <w:r>
              <w:rPr>
                <w:kern w:val="0"/>
              </w:rPr>
              <w:t>环境空气 总烃、甲烷和非甲烷总烃的测定</w:t>
            </w:r>
          </w:p>
          <w:p>
            <w:pPr>
              <w:pStyle w:val="56"/>
            </w:pPr>
            <w:r>
              <w:rPr>
                <w:kern w:val="0"/>
              </w:rPr>
              <w:t>直接进样-气相色谱法 HJ 604-2017</w:t>
            </w:r>
          </w:p>
        </w:tc>
        <w:tc>
          <w:tcPr>
            <w:tcW w:w="1064" w:type="pct"/>
            <w:vAlign w:val="center"/>
          </w:tcPr>
          <w:p>
            <w:pPr>
              <w:pStyle w:val="56"/>
            </w:pPr>
            <w:r>
              <w:t>气相色谱仪</w:t>
            </w:r>
          </w:p>
          <w:p>
            <w:pPr>
              <w:pStyle w:val="56"/>
            </w:pPr>
            <w:r>
              <w:t>GC-L96</w:t>
            </w:r>
          </w:p>
        </w:tc>
        <w:tc>
          <w:tcPr>
            <w:tcW w:w="506" w:type="pct"/>
            <w:vAlign w:val="center"/>
          </w:tcPr>
          <w:p>
            <w:pPr>
              <w:pStyle w:val="56"/>
            </w:pPr>
            <w:r>
              <w:rPr>
                <w:kern w:val="0"/>
              </w:rPr>
              <w:t>0.07mg/m</w:t>
            </w:r>
            <w:r>
              <w:rPr>
                <w:kern w:val="0"/>
                <w:vertAlign w:val="superscript"/>
              </w:rPr>
              <w:t>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gridAfter w:val="1"/>
          <w:wAfter w:w="29" w:type="pct"/>
          <w:trHeight w:val="340" w:hRule="atLeast"/>
          <w:jc w:val="center"/>
        </w:trPr>
        <w:tc>
          <w:tcPr>
            <w:tcW w:w="496" w:type="pct"/>
            <w:vAlign w:val="center"/>
          </w:tcPr>
          <w:p>
            <w:pPr>
              <w:pStyle w:val="56"/>
            </w:pPr>
            <w:r>
              <w:rPr>
                <w:rFonts w:hint="eastAsia"/>
              </w:rPr>
              <w:t>2</w:t>
            </w:r>
          </w:p>
        </w:tc>
        <w:tc>
          <w:tcPr>
            <w:tcW w:w="638" w:type="pct"/>
            <w:vAlign w:val="center"/>
          </w:tcPr>
          <w:p>
            <w:pPr>
              <w:pStyle w:val="56"/>
            </w:pPr>
            <w:r>
              <w:t>非甲烷总烃</w:t>
            </w:r>
          </w:p>
          <w:p>
            <w:pPr>
              <w:pStyle w:val="56"/>
            </w:pPr>
            <w:r>
              <w:rPr>
                <w:rFonts w:hint="eastAsia"/>
              </w:rPr>
              <w:t>（有组织）</w:t>
            </w:r>
          </w:p>
        </w:tc>
        <w:tc>
          <w:tcPr>
            <w:tcW w:w="2269" w:type="pct"/>
            <w:vAlign w:val="center"/>
          </w:tcPr>
          <w:p>
            <w:pPr>
              <w:pStyle w:val="56"/>
              <w:rPr>
                <w:kern w:val="0"/>
              </w:rPr>
            </w:pPr>
            <w:r>
              <w:rPr>
                <w:kern w:val="0"/>
              </w:rPr>
              <w:t>固定污染源废气 总烃、甲烷和非甲烷总烃的测定</w:t>
            </w:r>
          </w:p>
          <w:p>
            <w:pPr>
              <w:pStyle w:val="56"/>
              <w:rPr>
                <w:kern w:val="0"/>
              </w:rPr>
            </w:pPr>
            <w:r>
              <w:rPr>
                <w:kern w:val="0"/>
              </w:rPr>
              <w:t>气相色谱法 HJ 38-2017</w:t>
            </w:r>
          </w:p>
        </w:tc>
        <w:tc>
          <w:tcPr>
            <w:tcW w:w="1064" w:type="pct"/>
            <w:vAlign w:val="center"/>
          </w:tcPr>
          <w:p>
            <w:pPr>
              <w:pStyle w:val="56"/>
            </w:pPr>
            <w:r>
              <w:t>气相色谱仪</w:t>
            </w:r>
          </w:p>
          <w:p>
            <w:pPr>
              <w:pStyle w:val="56"/>
            </w:pPr>
            <w:r>
              <w:t>GC-L96</w:t>
            </w:r>
          </w:p>
        </w:tc>
        <w:tc>
          <w:tcPr>
            <w:tcW w:w="506" w:type="pct"/>
            <w:vAlign w:val="center"/>
          </w:tcPr>
          <w:p>
            <w:pPr>
              <w:pStyle w:val="56"/>
              <w:rPr>
                <w:kern w:val="0"/>
              </w:rPr>
            </w:pPr>
            <w:r>
              <w:rPr>
                <w:kern w:val="0"/>
              </w:rPr>
              <w:t>0.07mg/m</w:t>
            </w:r>
            <w:r>
              <w:rPr>
                <w:kern w:val="0"/>
                <w:vertAlign w:val="superscript"/>
              </w:rPr>
              <w:t>3</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496" w:type="pct"/>
            <w:vAlign w:val="center"/>
          </w:tcPr>
          <w:p>
            <w:pPr>
              <w:pStyle w:val="56"/>
            </w:pPr>
            <w:r>
              <w:rPr>
                <w:rFonts w:hint="eastAsia"/>
              </w:rPr>
              <w:t>3</w:t>
            </w:r>
          </w:p>
        </w:tc>
        <w:tc>
          <w:tcPr>
            <w:tcW w:w="638" w:type="pct"/>
            <w:vAlign w:val="center"/>
          </w:tcPr>
          <w:p>
            <w:pPr>
              <w:pStyle w:val="56"/>
              <w:rPr>
                <w:kern w:val="0"/>
              </w:rPr>
            </w:pPr>
            <w:r>
              <w:rPr>
                <w:rFonts w:hint="eastAsia"/>
              </w:rPr>
              <w:t>工业企业厂界环境噪声</w:t>
            </w:r>
          </w:p>
        </w:tc>
        <w:tc>
          <w:tcPr>
            <w:tcW w:w="2269" w:type="pct"/>
            <w:vAlign w:val="center"/>
          </w:tcPr>
          <w:p>
            <w:pPr>
              <w:pStyle w:val="56"/>
            </w:pPr>
            <w:r>
              <w:t>工业企业厂界环境噪声排放标准</w:t>
            </w:r>
          </w:p>
          <w:p>
            <w:pPr>
              <w:pStyle w:val="56"/>
              <w:rPr>
                <w:kern w:val="0"/>
              </w:rPr>
            </w:pPr>
            <w:r>
              <w:t>GB 12348-2008</w:t>
            </w:r>
          </w:p>
        </w:tc>
        <w:tc>
          <w:tcPr>
            <w:tcW w:w="1064" w:type="pct"/>
            <w:vAlign w:val="center"/>
          </w:tcPr>
          <w:p>
            <w:pPr>
              <w:pStyle w:val="56"/>
            </w:pPr>
            <w:r>
              <w:t>多功能声级</w:t>
            </w:r>
            <w:r>
              <w:rPr>
                <w:rFonts w:hint="eastAsia"/>
              </w:rPr>
              <w:t>计</w:t>
            </w:r>
          </w:p>
          <w:p>
            <w:pPr>
              <w:pStyle w:val="56"/>
            </w:pPr>
            <w:r>
              <w:t>AWA6228+</w:t>
            </w:r>
          </w:p>
        </w:tc>
        <w:tc>
          <w:tcPr>
            <w:tcW w:w="535" w:type="pct"/>
            <w:gridSpan w:val="2"/>
            <w:vAlign w:val="center"/>
          </w:tcPr>
          <w:p>
            <w:pPr>
              <w:pStyle w:val="56"/>
              <w:rPr>
                <w:kern w:val="0"/>
              </w:rPr>
            </w:pPr>
            <w:r>
              <w:t>—</w:t>
            </w:r>
          </w:p>
        </w:tc>
      </w:tr>
    </w:tbl>
    <w:p>
      <w:pPr>
        <w:pStyle w:val="58"/>
      </w:pPr>
      <w:bookmarkStart w:id="295" w:name="_Toc8049708"/>
      <w:bookmarkStart w:id="296" w:name="_Toc47431959"/>
      <w:r>
        <w:rPr>
          <w:rFonts w:hint="eastAsia"/>
        </w:rPr>
        <w:t xml:space="preserve"> </w:t>
      </w:r>
    </w:p>
    <w:p>
      <w:pPr>
        <w:pStyle w:val="8"/>
        <w:rPr>
          <w:color w:val="auto"/>
        </w:rPr>
      </w:pPr>
      <w:bookmarkStart w:id="297" w:name="_Toc19189"/>
      <w:bookmarkStart w:id="298" w:name="_Toc15738"/>
      <w:bookmarkStart w:id="299" w:name="_Toc10231"/>
      <w:bookmarkStart w:id="300" w:name="_Toc8182"/>
      <w:bookmarkStart w:id="301" w:name="_Toc9990"/>
      <w:bookmarkStart w:id="302" w:name="_Toc24586"/>
      <w:r>
        <w:rPr>
          <w:color w:val="auto"/>
        </w:rPr>
        <w:t>8.2  人员</w:t>
      </w:r>
      <w:bookmarkEnd w:id="295"/>
      <w:r>
        <w:rPr>
          <w:color w:val="auto"/>
        </w:rPr>
        <w:t>能力</w:t>
      </w:r>
      <w:bookmarkEnd w:id="296"/>
      <w:bookmarkEnd w:id="297"/>
      <w:bookmarkEnd w:id="298"/>
      <w:bookmarkEnd w:id="299"/>
      <w:bookmarkEnd w:id="300"/>
      <w:bookmarkEnd w:id="301"/>
      <w:bookmarkEnd w:id="302"/>
    </w:p>
    <w:p>
      <w:pPr>
        <w:ind w:firstLine="480"/>
      </w:pPr>
      <w:r>
        <w:t>项目监测人员均经过考核并持有上岗证。</w:t>
      </w:r>
    </w:p>
    <w:p>
      <w:pPr>
        <w:pStyle w:val="8"/>
        <w:rPr>
          <w:color w:val="auto"/>
        </w:rPr>
      </w:pPr>
      <w:bookmarkStart w:id="303" w:name="_Toc1949"/>
      <w:bookmarkStart w:id="304" w:name="_Toc26471"/>
      <w:bookmarkStart w:id="305" w:name="_Toc6257"/>
      <w:bookmarkStart w:id="306" w:name="_Toc47431960"/>
      <w:bookmarkStart w:id="307" w:name="_Toc20691"/>
      <w:bookmarkStart w:id="308" w:name="_Toc12306"/>
      <w:bookmarkStart w:id="309" w:name="_Toc15145"/>
      <w:bookmarkStart w:id="310" w:name="_Toc26207"/>
      <w:bookmarkStart w:id="311" w:name="_Toc25160"/>
      <w:bookmarkStart w:id="312" w:name="_Toc1325"/>
      <w:bookmarkStart w:id="313" w:name="_Toc11750"/>
      <w:bookmarkStart w:id="314" w:name="_Toc11459"/>
      <w:bookmarkStart w:id="315" w:name="_Toc31230"/>
      <w:r>
        <w:rPr>
          <w:color w:val="auto"/>
        </w:rPr>
        <w:t>8.3  质量保证和质量控制</w:t>
      </w:r>
      <w:bookmarkEnd w:id="303"/>
      <w:bookmarkEnd w:id="304"/>
      <w:bookmarkEnd w:id="305"/>
      <w:bookmarkEnd w:id="306"/>
      <w:bookmarkEnd w:id="307"/>
      <w:bookmarkEnd w:id="308"/>
      <w:bookmarkEnd w:id="309"/>
      <w:bookmarkEnd w:id="310"/>
      <w:bookmarkEnd w:id="311"/>
      <w:bookmarkEnd w:id="312"/>
      <w:bookmarkEnd w:id="313"/>
      <w:bookmarkEnd w:id="314"/>
      <w:bookmarkEnd w:id="315"/>
    </w:p>
    <w:p>
      <w:pPr>
        <w:ind w:firstLine="480"/>
      </w:pPr>
      <w:r>
        <w:t>本次验收监测期间，严格执行了《建设单位自行监测技术指南总则》（HJ819-2017）中相关要求。</w:t>
      </w:r>
    </w:p>
    <w:p>
      <w:pPr>
        <w:ind w:firstLine="480"/>
      </w:pPr>
      <w:r>
        <w:t>合理布设监测点位，保证各监测点位布设的科学性和可比性。</w:t>
      </w:r>
    </w:p>
    <w:p>
      <w:pPr>
        <w:ind w:firstLine="480"/>
      </w:pPr>
      <w:r>
        <w:t>本次监测采样及样品分析均严格按照相关规范等要求进行，实施全程序质量控制。</w:t>
      </w:r>
    </w:p>
    <w:p>
      <w:pPr>
        <w:ind w:firstLine="480"/>
      </w:pPr>
      <w:r>
        <w:rPr>
          <w:rFonts w:hint="eastAsia"/>
        </w:rPr>
        <w:t>沈阳市绿橙环境监测有限公司</w:t>
      </w:r>
      <w:r>
        <w:t>于2021年7月21日~22日进行了现场验收监测，形成《</w:t>
      </w:r>
      <w:r>
        <w:rPr>
          <w:rFonts w:hint="eastAsia"/>
        </w:rPr>
        <w:t>检测报告</w:t>
      </w:r>
      <w:r>
        <w:t>》（报告编号：SYLC20210511）。</w:t>
      </w:r>
    </w:p>
    <w:p>
      <w:pPr>
        <w:ind w:firstLine="480"/>
      </w:pPr>
      <w:r>
        <w:t>监测分析方法采用国家颁布标准（或推荐）分析方法，监测人员经考核并持有合格证书，所有监测仪器经计量部门检定并在有效期内。监测数据严格实行三级审核制度。</w:t>
      </w:r>
    </w:p>
    <w:p>
      <w:pPr>
        <w:pStyle w:val="9"/>
      </w:pPr>
      <w:bookmarkStart w:id="316" w:name="_Toc10992"/>
      <w:bookmarkStart w:id="317" w:name="_Toc30363"/>
      <w:bookmarkStart w:id="318" w:name="_Toc22581"/>
      <w:bookmarkStart w:id="319" w:name="_Toc20820"/>
      <w:bookmarkStart w:id="320" w:name="_Toc10014"/>
      <w:r>
        <w:t>8.3.</w:t>
      </w:r>
      <w:r>
        <w:rPr>
          <w:rFonts w:hint="eastAsia"/>
        </w:rPr>
        <w:t>1</w:t>
      </w:r>
      <w:r>
        <w:t xml:space="preserve">  气体监测分析过程中的质量保证和质量控制</w:t>
      </w:r>
      <w:bookmarkEnd w:id="316"/>
      <w:bookmarkEnd w:id="317"/>
      <w:bookmarkEnd w:id="318"/>
      <w:bookmarkEnd w:id="319"/>
      <w:bookmarkEnd w:id="320"/>
    </w:p>
    <w:p>
      <w:pPr>
        <w:ind w:firstLine="480"/>
      </w:pPr>
      <w:r>
        <w:rPr>
          <w:rFonts w:hint="eastAsia"/>
        </w:rPr>
        <w:t>排气筒废气监测按《固定污染源排气中颗粒物测定与气态污染物采样方法》（GB/T16157-1996）的有关要求执行。采样位置选择在垂直管段，避开烟道弯头和断面急剧变化的部位。采样位置设置在距弯头、阀门、变径管下游方向不小于6倍直径处，和距上述部件上游方向不小于3倍直径处。</w:t>
      </w:r>
    </w:p>
    <w:p>
      <w:pPr>
        <w:ind w:firstLine="480"/>
      </w:pPr>
      <w:r>
        <w:rPr>
          <w:rFonts w:hint="eastAsia"/>
        </w:rPr>
        <w:t>气态污染物采样：吸收瓶或吸附管与采样管的连接。连接管尽可能短，吸收瓶或吸附管尽量靠近采样管出口处，当吸收液温度较高而对吸附效率有影响时，将吸收瓶放入冷水槽中冷却。进行漏气试验：关上采样管出口三通阀，打开抽气泵抽气，使真空压力表负压上升到13KPa，关闭抽气泵一侧阀门，压力计压力在1min内下降未超过0.15KPa。采样操作：接通采样管路，调节采样流量至所需流量进行采样，采样期间保持流量恒定，波动不大于±10%。每个样品采样时间一般不少于10min。</w:t>
      </w:r>
    </w:p>
    <w:p>
      <w:pPr>
        <w:ind w:firstLine="480"/>
      </w:pPr>
      <w:r>
        <w:rPr>
          <w:rFonts w:hint="eastAsia"/>
        </w:rPr>
        <w:t>VOCs使用多层吸附剂的吸附采样管，流量为20~50ml/min，采集20min。当废气温度较高，含湿量大于2%时，将吸附采样管冷却后采样。</w:t>
      </w:r>
    </w:p>
    <w:p>
      <w:pPr>
        <w:ind w:firstLine="480"/>
      </w:pPr>
      <w:r>
        <w:t>无组织废气监测按《大气污染物无组织排放监测技术导则》（HJ/T55-2000）的规定进行。选择不利于污染物扩散和稀释的条件下进行采样。在单位周界外设点，在排放源下风向设点，采样口的高度为1.5m。共设置监控点2个。现场采样之前进行风向、风速测定，在采样过程中重复2次。采样过程中未发生风向有明显变化的情况。采取连续1h采样计平均值。</w:t>
      </w:r>
    </w:p>
    <w:p>
      <w:pPr>
        <w:pStyle w:val="9"/>
      </w:pPr>
      <w:bookmarkStart w:id="321" w:name="_Toc31947"/>
      <w:bookmarkStart w:id="322" w:name="_Toc29651"/>
      <w:bookmarkStart w:id="323" w:name="_Toc11853"/>
      <w:bookmarkStart w:id="324" w:name="_Toc16465"/>
      <w:bookmarkStart w:id="325" w:name="_Toc6660"/>
      <w:r>
        <w:t>8.3.</w:t>
      </w:r>
      <w:r>
        <w:rPr>
          <w:rFonts w:hint="eastAsia"/>
        </w:rPr>
        <w:t>2</w:t>
      </w:r>
      <w:r>
        <w:t xml:space="preserve">  噪声监测分析过程中的质量保证和质量控制</w:t>
      </w:r>
      <w:bookmarkEnd w:id="321"/>
      <w:bookmarkEnd w:id="322"/>
      <w:bookmarkEnd w:id="323"/>
      <w:bookmarkEnd w:id="324"/>
      <w:bookmarkEnd w:id="325"/>
    </w:p>
    <w:p>
      <w:pPr>
        <w:spacing w:before="72" w:after="72"/>
        <w:ind w:firstLine="480"/>
      </w:pPr>
      <w:r>
        <w:t>噪声监测按《工业企业厂界环境噪声排放标准》（GB12348-2008）中的要求与规定进行全过程质量控制，监测期间无雨雪、无雷电天气，风速小于5m/s。声级计测量前后均进行校准。噪声仪在检测前后均使用声校准器进行声校准，前、后示值偏差小于0.5dB，符合相关规定的要求。</w:t>
      </w:r>
      <w:r>
        <w:br w:type="page"/>
      </w:r>
    </w:p>
    <w:p>
      <w:pPr>
        <w:pStyle w:val="7"/>
        <w:keepNext w:val="0"/>
        <w:keepLines w:val="0"/>
        <w:widowControl w:val="0"/>
      </w:pPr>
      <w:bookmarkStart w:id="326" w:name="_Toc20891"/>
      <w:bookmarkStart w:id="327" w:name="_Toc21626"/>
      <w:bookmarkStart w:id="328" w:name="_Toc7210"/>
      <w:bookmarkStart w:id="329" w:name="_Toc798"/>
      <w:bookmarkStart w:id="330" w:name="_Toc47431961"/>
      <w:bookmarkStart w:id="331" w:name="_Toc14862"/>
      <w:bookmarkStart w:id="332" w:name="_Toc22088"/>
      <w:bookmarkStart w:id="333" w:name="_Toc17652"/>
      <w:bookmarkStart w:id="334" w:name="_Toc26393"/>
      <w:r>
        <w:t>9  验收监测结果</w:t>
      </w:r>
      <w:bookmarkEnd w:id="326"/>
      <w:bookmarkEnd w:id="327"/>
      <w:bookmarkEnd w:id="328"/>
      <w:bookmarkEnd w:id="329"/>
      <w:bookmarkEnd w:id="330"/>
      <w:bookmarkEnd w:id="331"/>
      <w:bookmarkEnd w:id="332"/>
      <w:bookmarkEnd w:id="333"/>
      <w:bookmarkEnd w:id="334"/>
    </w:p>
    <w:p>
      <w:pPr>
        <w:pStyle w:val="8"/>
        <w:keepNext w:val="0"/>
        <w:keepLines w:val="0"/>
        <w:rPr>
          <w:color w:val="auto"/>
        </w:rPr>
      </w:pPr>
      <w:bookmarkStart w:id="335" w:name="_Toc23793"/>
      <w:bookmarkStart w:id="336" w:name="_Toc27503"/>
      <w:bookmarkStart w:id="337" w:name="_Toc31366"/>
      <w:bookmarkStart w:id="338" w:name="_Toc14863"/>
      <w:bookmarkStart w:id="339" w:name="_Toc17553"/>
      <w:bookmarkStart w:id="340" w:name="_Toc29907"/>
      <w:bookmarkStart w:id="341" w:name="_Toc47431962"/>
      <w:bookmarkStart w:id="342" w:name="_Toc31964"/>
      <w:r>
        <w:rPr>
          <w:color w:val="auto"/>
        </w:rPr>
        <w:t>9.1  生产工况</w:t>
      </w:r>
      <w:bookmarkEnd w:id="335"/>
      <w:bookmarkEnd w:id="336"/>
      <w:bookmarkEnd w:id="337"/>
      <w:bookmarkEnd w:id="338"/>
      <w:bookmarkEnd w:id="339"/>
      <w:bookmarkEnd w:id="340"/>
      <w:bookmarkEnd w:id="341"/>
      <w:bookmarkEnd w:id="342"/>
    </w:p>
    <w:p>
      <w:pPr>
        <w:ind w:firstLine="480"/>
      </w:pPr>
      <w:r>
        <w:t>该项目根据《中华人民共和国环境保护法》和《建设项目环境保护管理办法》的规定进行了环境影响评价，基本落实了环评以及环评批复的要求。基本做到了环保设施与主体工程同时设计，同时施工、同时投入生产。</w:t>
      </w:r>
    </w:p>
    <w:p>
      <w:pPr>
        <w:ind w:firstLine="480"/>
      </w:pPr>
      <w:r>
        <w:rPr>
          <w:rFonts w:hint="eastAsia"/>
        </w:rPr>
        <w:t>企业生产、环保设施全部正常运行，生产负荷最低为90%，符合验收监测对生产负荷的要求。详情见下表。</w:t>
      </w:r>
    </w:p>
    <w:p>
      <w:pPr>
        <w:pStyle w:val="134"/>
        <w:rPr>
          <w:color w:val="auto"/>
        </w:rPr>
      </w:pPr>
    </w:p>
    <w:p>
      <w:pPr>
        <w:pStyle w:val="58"/>
      </w:pPr>
      <w:r>
        <w:t>表</w:t>
      </w:r>
      <w:r>
        <w:rPr>
          <w:rFonts w:hint="eastAsia"/>
        </w:rPr>
        <w:t>9</w:t>
      </w:r>
      <w:r>
        <w:t>.1-1                              监测期间工况</w:t>
      </w:r>
    </w:p>
    <w:tbl>
      <w:tblPr>
        <w:tblStyle w:val="151"/>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01"/>
        <w:gridCol w:w="2002"/>
        <w:gridCol w:w="2064"/>
        <w:gridCol w:w="2033"/>
        <w:gridCol w:w="130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pStyle w:val="56"/>
              <w:rPr>
                <w:rStyle w:val="123"/>
                <w:rFonts w:eastAsiaTheme="minorEastAsia"/>
                <w:b w:val="0"/>
                <w:kern w:val="2"/>
                <w:szCs w:val="22"/>
              </w:rPr>
            </w:pPr>
            <w:r>
              <w:rPr>
                <w:rStyle w:val="123"/>
                <w:rFonts w:eastAsiaTheme="minorEastAsia"/>
                <w:b w:val="0"/>
                <w:kern w:val="2"/>
                <w:szCs w:val="22"/>
              </w:rPr>
              <w:t xml:space="preserve">监测日期 </w:t>
            </w:r>
          </w:p>
        </w:tc>
        <w:tc>
          <w:tcPr>
            <w:tcW w:w="1112" w:type="pct"/>
            <w:vAlign w:val="center"/>
          </w:tcPr>
          <w:p>
            <w:pPr>
              <w:pStyle w:val="56"/>
              <w:rPr>
                <w:rStyle w:val="123"/>
                <w:rFonts w:eastAsiaTheme="minorEastAsia"/>
                <w:b w:val="0"/>
                <w:kern w:val="2"/>
                <w:szCs w:val="22"/>
              </w:rPr>
            </w:pPr>
            <w:r>
              <w:rPr>
                <w:rStyle w:val="123"/>
                <w:rFonts w:eastAsiaTheme="minorEastAsia"/>
                <w:b w:val="0"/>
                <w:kern w:val="2"/>
                <w:szCs w:val="22"/>
              </w:rPr>
              <w:t xml:space="preserve">产品 </w:t>
            </w:r>
          </w:p>
        </w:tc>
        <w:tc>
          <w:tcPr>
            <w:tcW w:w="1146" w:type="pct"/>
            <w:vAlign w:val="center"/>
          </w:tcPr>
          <w:p>
            <w:pPr>
              <w:pStyle w:val="56"/>
              <w:rPr>
                <w:rStyle w:val="123"/>
                <w:rFonts w:eastAsiaTheme="minorEastAsia"/>
                <w:b w:val="0"/>
                <w:kern w:val="2"/>
                <w:szCs w:val="22"/>
              </w:rPr>
            </w:pPr>
            <w:r>
              <w:rPr>
                <w:rFonts w:hint="eastAsia"/>
              </w:rPr>
              <w:t>环评设计消耗量</w:t>
            </w:r>
          </w:p>
        </w:tc>
        <w:tc>
          <w:tcPr>
            <w:tcW w:w="1129" w:type="pct"/>
            <w:vAlign w:val="center"/>
          </w:tcPr>
          <w:p>
            <w:pPr>
              <w:pStyle w:val="56"/>
              <w:rPr>
                <w:rStyle w:val="123"/>
                <w:rFonts w:eastAsiaTheme="minorEastAsia"/>
                <w:b w:val="0"/>
                <w:kern w:val="2"/>
                <w:szCs w:val="22"/>
              </w:rPr>
            </w:pPr>
            <w:r>
              <w:rPr>
                <w:rFonts w:hint="eastAsia"/>
              </w:rPr>
              <w:t>验收调试期消耗量</w:t>
            </w:r>
          </w:p>
        </w:tc>
        <w:tc>
          <w:tcPr>
            <w:tcW w:w="725" w:type="pct"/>
            <w:vAlign w:val="center"/>
          </w:tcPr>
          <w:p>
            <w:pPr>
              <w:pStyle w:val="56"/>
              <w:rPr>
                <w:rStyle w:val="123"/>
                <w:rFonts w:eastAsiaTheme="minorEastAsia"/>
                <w:b w:val="0"/>
                <w:kern w:val="2"/>
                <w:szCs w:val="22"/>
              </w:rPr>
            </w:pPr>
            <w:r>
              <w:rPr>
                <w:rStyle w:val="123"/>
                <w:rFonts w:eastAsiaTheme="minorEastAsia"/>
                <w:b w:val="0"/>
                <w:kern w:val="2"/>
                <w:szCs w:val="22"/>
              </w:rPr>
              <w:t>负荷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pStyle w:val="56"/>
              <w:rPr>
                <w:rStyle w:val="123"/>
                <w:rFonts w:eastAsiaTheme="minorEastAsia"/>
                <w:b w:val="0"/>
                <w:kern w:val="2"/>
                <w:szCs w:val="22"/>
              </w:rPr>
            </w:pPr>
            <w:r>
              <w:rPr>
                <w:rFonts w:hint="eastAsia"/>
              </w:rPr>
              <w:t>2021.0</w:t>
            </w:r>
            <w:r>
              <w:t>7</w:t>
            </w:r>
            <w:r>
              <w:rPr>
                <w:rFonts w:hint="eastAsia"/>
              </w:rPr>
              <w:t>.</w:t>
            </w:r>
            <w:r>
              <w:t>21</w:t>
            </w:r>
          </w:p>
        </w:tc>
        <w:tc>
          <w:tcPr>
            <w:tcW w:w="1112" w:type="pct"/>
            <w:vMerge w:val="restart"/>
            <w:vAlign w:val="center"/>
          </w:tcPr>
          <w:p>
            <w:pPr>
              <w:pStyle w:val="56"/>
              <w:rPr>
                <w:rStyle w:val="123"/>
                <w:rFonts w:eastAsiaTheme="minorEastAsia"/>
                <w:b w:val="0"/>
                <w:kern w:val="2"/>
                <w:szCs w:val="22"/>
              </w:rPr>
            </w:pPr>
            <w:r>
              <w:rPr>
                <w:rFonts w:hint="eastAsia"/>
              </w:rPr>
              <w:t>对</w:t>
            </w:r>
            <w:r>
              <w:t>铜合金纪念币</w:t>
            </w:r>
            <w:r>
              <w:rPr>
                <w:rFonts w:hint="eastAsia"/>
              </w:rPr>
              <w:t>进行彩喷</w:t>
            </w:r>
          </w:p>
        </w:tc>
        <w:tc>
          <w:tcPr>
            <w:tcW w:w="1146" w:type="pct"/>
            <w:vAlign w:val="center"/>
          </w:tcPr>
          <w:p>
            <w:pPr>
              <w:pStyle w:val="56"/>
              <w:rPr>
                <w:rStyle w:val="123"/>
                <w:rFonts w:eastAsiaTheme="minorEastAsia"/>
                <w:b w:val="0"/>
                <w:kern w:val="2"/>
                <w:szCs w:val="22"/>
              </w:rPr>
            </w:pPr>
            <w:r>
              <w:t>40</w:t>
            </w:r>
            <w:r>
              <w:rPr>
                <w:rFonts w:hint="eastAsia"/>
              </w:rPr>
              <w:t>万</w:t>
            </w:r>
            <w:r>
              <w:t>枚/</w:t>
            </w:r>
            <w:r>
              <w:rPr>
                <w:rFonts w:hint="eastAsia"/>
              </w:rPr>
              <w:t>d</w:t>
            </w:r>
          </w:p>
        </w:tc>
        <w:tc>
          <w:tcPr>
            <w:tcW w:w="1129" w:type="pct"/>
            <w:vAlign w:val="center"/>
          </w:tcPr>
          <w:p>
            <w:pPr>
              <w:pStyle w:val="56"/>
              <w:rPr>
                <w:rStyle w:val="123"/>
                <w:rFonts w:eastAsiaTheme="minorEastAsia"/>
                <w:b w:val="0"/>
                <w:kern w:val="2"/>
                <w:szCs w:val="22"/>
              </w:rPr>
            </w:pPr>
            <w:r>
              <w:rPr>
                <w:rFonts w:hint="eastAsia"/>
              </w:rPr>
              <w:t>3</w:t>
            </w:r>
            <w:r>
              <w:t>6</w:t>
            </w:r>
            <w:r>
              <w:rPr>
                <w:rFonts w:hint="eastAsia"/>
              </w:rPr>
              <w:t>万</w:t>
            </w:r>
            <w:r>
              <w:t>枚/</w:t>
            </w:r>
            <w:r>
              <w:rPr>
                <w:rFonts w:hint="eastAsia"/>
              </w:rPr>
              <w:t>d</w:t>
            </w:r>
          </w:p>
        </w:tc>
        <w:tc>
          <w:tcPr>
            <w:tcW w:w="725" w:type="pct"/>
            <w:vAlign w:val="center"/>
          </w:tcPr>
          <w:p>
            <w:pPr>
              <w:pStyle w:val="56"/>
              <w:rPr>
                <w:rStyle w:val="123"/>
                <w:rFonts w:eastAsiaTheme="minorEastAsia"/>
                <w:b w:val="0"/>
                <w:kern w:val="2"/>
                <w:szCs w:val="22"/>
              </w:rPr>
            </w:pPr>
            <w:r>
              <w:rPr>
                <w:rStyle w:val="123"/>
                <w:rFonts w:eastAsiaTheme="minorEastAsia"/>
                <w:b w:val="0"/>
                <w:kern w:val="2"/>
                <w:szCs w:val="22"/>
              </w:rPr>
              <w:t>90%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9" w:type="pct"/>
            <w:vAlign w:val="center"/>
          </w:tcPr>
          <w:p>
            <w:pPr>
              <w:pStyle w:val="56"/>
              <w:rPr>
                <w:rStyle w:val="123"/>
                <w:rFonts w:eastAsiaTheme="minorEastAsia"/>
                <w:b w:val="0"/>
                <w:kern w:val="2"/>
                <w:szCs w:val="22"/>
              </w:rPr>
            </w:pPr>
            <w:r>
              <w:rPr>
                <w:rFonts w:hint="eastAsia"/>
              </w:rPr>
              <w:t>2021.0</w:t>
            </w:r>
            <w:r>
              <w:t>7</w:t>
            </w:r>
            <w:r>
              <w:rPr>
                <w:rFonts w:hint="eastAsia"/>
              </w:rPr>
              <w:t>.</w:t>
            </w:r>
            <w:r>
              <w:t>22</w:t>
            </w:r>
          </w:p>
        </w:tc>
        <w:tc>
          <w:tcPr>
            <w:tcW w:w="1112" w:type="pct"/>
            <w:vMerge w:val="continue"/>
            <w:vAlign w:val="center"/>
          </w:tcPr>
          <w:p>
            <w:pPr>
              <w:pStyle w:val="56"/>
              <w:rPr>
                <w:rStyle w:val="123"/>
                <w:rFonts w:eastAsiaTheme="minorEastAsia"/>
                <w:b w:val="0"/>
                <w:kern w:val="2"/>
                <w:szCs w:val="22"/>
              </w:rPr>
            </w:pPr>
          </w:p>
        </w:tc>
        <w:tc>
          <w:tcPr>
            <w:tcW w:w="1146" w:type="pct"/>
            <w:vAlign w:val="center"/>
          </w:tcPr>
          <w:p>
            <w:pPr>
              <w:pStyle w:val="56"/>
              <w:rPr>
                <w:rStyle w:val="123"/>
                <w:rFonts w:eastAsiaTheme="minorEastAsia"/>
                <w:b w:val="0"/>
                <w:kern w:val="2"/>
                <w:szCs w:val="22"/>
              </w:rPr>
            </w:pPr>
            <w:r>
              <w:t>40</w:t>
            </w:r>
            <w:r>
              <w:rPr>
                <w:rFonts w:hint="eastAsia"/>
              </w:rPr>
              <w:t>万</w:t>
            </w:r>
            <w:r>
              <w:t>枚/</w:t>
            </w:r>
            <w:r>
              <w:rPr>
                <w:rFonts w:hint="eastAsia"/>
              </w:rPr>
              <w:t>d</w:t>
            </w:r>
            <w:r>
              <w:rPr>
                <w:rStyle w:val="123"/>
                <w:rFonts w:eastAsiaTheme="minorEastAsia"/>
                <w:b w:val="0"/>
                <w:kern w:val="2"/>
                <w:szCs w:val="22"/>
              </w:rPr>
              <w:t xml:space="preserve"> </w:t>
            </w:r>
          </w:p>
        </w:tc>
        <w:tc>
          <w:tcPr>
            <w:tcW w:w="1129" w:type="pct"/>
            <w:vAlign w:val="center"/>
          </w:tcPr>
          <w:p>
            <w:pPr>
              <w:pStyle w:val="56"/>
              <w:rPr>
                <w:rStyle w:val="123"/>
                <w:rFonts w:eastAsiaTheme="minorEastAsia"/>
                <w:b w:val="0"/>
                <w:kern w:val="2"/>
                <w:szCs w:val="22"/>
              </w:rPr>
            </w:pPr>
            <w:r>
              <w:rPr>
                <w:rFonts w:hint="eastAsia"/>
              </w:rPr>
              <w:t>3</w:t>
            </w:r>
            <w:r>
              <w:t>6</w:t>
            </w:r>
            <w:r>
              <w:rPr>
                <w:rFonts w:hint="eastAsia"/>
              </w:rPr>
              <w:t>万</w:t>
            </w:r>
            <w:r>
              <w:t>枚/</w:t>
            </w:r>
            <w:r>
              <w:rPr>
                <w:rFonts w:hint="eastAsia"/>
              </w:rPr>
              <w:t>d</w:t>
            </w:r>
          </w:p>
        </w:tc>
        <w:tc>
          <w:tcPr>
            <w:tcW w:w="725" w:type="pct"/>
            <w:vAlign w:val="center"/>
          </w:tcPr>
          <w:p>
            <w:pPr>
              <w:pStyle w:val="56"/>
              <w:rPr>
                <w:rStyle w:val="123"/>
                <w:rFonts w:eastAsiaTheme="minorEastAsia"/>
                <w:b w:val="0"/>
                <w:kern w:val="2"/>
                <w:szCs w:val="22"/>
              </w:rPr>
            </w:pPr>
            <w:r>
              <w:t>92.</w:t>
            </w:r>
            <w:r>
              <w:rPr>
                <w:rStyle w:val="123"/>
                <w:rFonts w:eastAsiaTheme="minorEastAsia"/>
                <w:b w:val="0"/>
                <w:kern w:val="2"/>
                <w:szCs w:val="22"/>
              </w:rPr>
              <w:t>5%</w:t>
            </w:r>
          </w:p>
        </w:tc>
      </w:tr>
    </w:tbl>
    <w:p>
      <w:pPr>
        <w:pStyle w:val="6"/>
      </w:pPr>
      <w:r>
        <w:rPr>
          <w:rFonts w:hint="eastAsia"/>
        </w:rPr>
        <w:t xml:space="preserve"> </w:t>
      </w:r>
    </w:p>
    <w:p>
      <w:pPr>
        <w:pStyle w:val="8"/>
        <w:keepNext w:val="0"/>
        <w:keepLines w:val="0"/>
        <w:spacing w:before="240" w:beforeLines="100"/>
        <w:rPr>
          <w:color w:val="auto"/>
        </w:rPr>
      </w:pPr>
      <w:bookmarkStart w:id="343" w:name="_Toc47431963"/>
      <w:bookmarkStart w:id="344" w:name="_Toc15246"/>
      <w:bookmarkStart w:id="345" w:name="_Toc12835"/>
      <w:bookmarkStart w:id="346" w:name="_Toc14713"/>
      <w:bookmarkStart w:id="347" w:name="_Toc8049712"/>
      <w:bookmarkStart w:id="348" w:name="_Toc18892"/>
      <w:bookmarkStart w:id="349" w:name="_Toc3551"/>
      <w:bookmarkStart w:id="350" w:name="_Toc7062"/>
      <w:r>
        <w:rPr>
          <w:color w:val="auto"/>
        </w:rPr>
        <w:t>9.2  环境保护设施</w:t>
      </w:r>
      <w:bookmarkEnd w:id="343"/>
      <w:bookmarkEnd w:id="344"/>
      <w:bookmarkEnd w:id="345"/>
      <w:bookmarkEnd w:id="346"/>
      <w:bookmarkEnd w:id="347"/>
      <w:bookmarkEnd w:id="348"/>
      <w:bookmarkEnd w:id="349"/>
      <w:bookmarkEnd w:id="350"/>
      <w:r>
        <w:rPr>
          <w:rFonts w:hint="eastAsia"/>
          <w:color w:val="auto"/>
        </w:rPr>
        <w:t>监测结果</w:t>
      </w:r>
    </w:p>
    <w:p>
      <w:pPr>
        <w:pStyle w:val="9"/>
        <w:keepNext w:val="0"/>
        <w:keepLines w:val="0"/>
      </w:pPr>
      <w:bookmarkStart w:id="351" w:name="_Toc14544"/>
      <w:bookmarkStart w:id="352" w:name="_Toc25623"/>
      <w:bookmarkStart w:id="353" w:name="_Toc11172"/>
      <w:bookmarkStart w:id="354" w:name="_Toc28679"/>
      <w:bookmarkStart w:id="355" w:name="_Toc165"/>
      <w:bookmarkStart w:id="356" w:name="_Toc14867"/>
      <w:r>
        <w:t>9.2.</w:t>
      </w:r>
      <w:r>
        <w:rPr>
          <w:rFonts w:hint="eastAsia"/>
        </w:rPr>
        <w:t>1</w:t>
      </w:r>
      <w:r>
        <w:t xml:space="preserve">  废气</w:t>
      </w:r>
      <w:bookmarkEnd w:id="351"/>
      <w:bookmarkEnd w:id="352"/>
      <w:bookmarkEnd w:id="353"/>
      <w:bookmarkEnd w:id="354"/>
      <w:bookmarkEnd w:id="355"/>
    </w:p>
    <w:p>
      <w:pPr>
        <w:ind w:firstLine="480"/>
      </w:pPr>
      <w:r>
        <w:t>（1）有组织废气监测</w:t>
      </w:r>
    </w:p>
    <w:p>
      <w:pPr>
        <w:pStyle w:val="2"/>
      </w:pPr>
      <w:r>
        <w:t>验收期间，</w:t>
      </w:r>
      <w:r>
        <w:rPr>
          <w:rFonts w:hint="eastAsia"/>
        </w:rPr>
        <w:t>排气筒</w:t>
      </w:r>
      <w:r>
        <w:t>进出口废气监测结果如下表。</w:t>
      </w:r>
    </w:p>
    <w:p>
      <w:pPr>
        <w:pStyle w:val="141"/>
      </w:pPr>
    </w:p>
    <w:p>
      <w:pPr>
        <w:pStyle w:val="58"/>
      </w:pPr>
      <w:r>
        <w:rPr>
          <w:rFonts w:hint="eastAsia"/>
        </w:rPr>
        <w:t>表9</w:t>
      </w:r>
      <w:r>
        <w:t xml:space="preserve">.2-1                     </w:t>
      </w:r>
      <w:r>
        <w:rPr>
          <w:rFonts w:hint="eastAsia"/>
        </w:rPr>
        <w:t>有组织</w:t>
      </w:r>
      <w:r>
        <w:t>排放监测结果与评价表</w:t>
      </w:r>
    </w:p>
    <w:tbl>
      <w:tblPr>
        <w:tblStyle w:val="47"/>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57" w:type="dxa"/>
          <w:bottom w:w="0" w:type="dxa"/>
          <w:right w:w="28" w:type="dxa"/>
        </w:tblCellMar>
      </w:tblPr>
      <w:tblGrid>
        <w:gridCol w:w="1133"/>
        <w:gridCol w:w="2123"/>
        <w:gridCol w:w="644"/>
        <w:gridCol w:w="715"/>
        <w:gridCol w:w="715"/>
        <w:gridCol w:w="715"/>
        <w:gridCol w:w="715"/>
        <w:gridCol w:w="715"/>
        <w:gridCol w:w="715"/>
        <w:gridCol w:w="50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1133" w:type="dxa"/>
            <w:vMerge w:val="restart"/>
            <w:vAlign w:val="center"/>
          </w:tcPr>
          <w:p>
            <w:pPr>
              <w:pStyle w:val="56"/>
              <w:spacing w:before="5" w:after="5"/>
            </w:pPr>
            <w:r>
              <w:t>设施名称/监测点位</w:t>
            </w:r>
          </w:p>
        </w:tc>
        <w:tc>
          <w:tcPr>
            <w:tcW w:w="2123" w:type="dxa"/>
            <w:vMerge w:val="restart"/>
            <w:vAlign w:val="center"/>
          </w:tcPr>
          <w:p>
            <w:pPr>
              <w:pStyle w:val="56"/>
              <w:spacing w:before="5" w:after="5"/>
            </w:pPr>
            <w:r>
              <w:t>项 目</w:t>
            </w:r>
          </w:p>
        </w:tc>
        <w:tc>
          <w:tcPr>
            <w:tcW w:w="0" w:type="auto"/>
            <w:vMerge w:val="restart"/>
            <w:vAlign w:val="center"/>
          </w:tcPr>
          <w:p>
            <w:pPr>
              <w:pStyle w:val="56"/>
              <w:spacing w:before="5" w:after="5"/>
            </w:pPr>
            <w:r>
              <w:t>单位</w:t>
            </w:r>
          </w:p>
        </w:tc>
        <w:tc>
          <w:tcPr>
            <w:tcW w:w="0" w:type="auto"/>
            <w:gridSpan w:val="7"/>
            <w:vAlign w:val="center"/>
          </w:tcPr>
          <w:p>
            <w:pPr>
              <w:pStyle w:val="56"/>
              <w:spacing w:before="5" w:after="5"/>
            </w:pPr>
            <w:r>
              <w:rPr>
                <w:rFonts w:hint="eastAsia"/>
              </w:rPr>
              <w:t>非甲烷总烃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1133" w:type="dxa"/>
            <w:vMerge w:val="continue"/>
            <w:vAlign w:val="center"/>
          </w:tcPr>
          <w:p>
            <w:pPr>
              <w:pStyle w:val="56"/>
              <w:spacing w:before="5" w:after="5"/>
            </w:pPr>
          </w:p>
        </w:tc>
        <w:tc>
          <w:tcPr>
            <w:tcW w:w="2123" w:type="dxa"/>
            <w:vMerge w:val="continue"/>
            <w:vAlign w:val="center"/>
          </w:tcPr>
          <w:p>
            <w:pPr>
              <w:pStyle w:val="56"/>
              <w:spacing w:before="5" w:after="5"/>
            </w:pPr>
          </w:p>
        </w:tc>
        <w:tc>
          <w:tcPr>
            <w:tcW w:w="0" w:type="auto"/>
            <w:vMerge w:val="continue"/>
            <w:vAlign w:val="center"/>
          </w:tcPr>
          <w:p>
            <w:pPr>
              <w:pStyle w:val="56"/>
              <w:spacing w:before="5" w:after="5"/>
            </w:pPr>
          </w:p>
        </w:tc>
        <w:tc>
          <w:tcPr>
            <w:tcW w:w="0" w:type="auto"/>
            <w:gridSpan w:val="3"/>
            <w:vAlign w:val="center"/>
          </w:tcPr>
          <w:p>
            <w:pPr>
              <w:pStyle w:val="56"/>
              <w:spacing w:before="5" w:after="5"/>
              <w:rPr>
                <w:highlight w:val="yellow"/>
              </w:rPr>
            </w:pPr>
            <w:r>
              <w:rPr>
                <w:rFonts w:hint="eastAsia"/>
              </w:rPr>
              <w:t>2021.0</w:t>
            </w:r>
            <w:r>
              <w:t>7</w:t>
            </w:r>
            <w:r>
              <w:rPr>
                <w:rFonts w:hint="eastAsia"/>
              </w:rPr>
              <w:t>.2</w:t>
            </w:r>
            <w:r>
              <w:t>1</w:t>
            </w:r>
          </w:p>
        </w:tc>
        <w:tc>
          <w:tcPr>
            <w:tcW w:w="0" w:type="auto"/>
            <w:gridSpan w:val="3"/>
            <w:vAlign w:val="center"/>
          </w:tcPr>
          <w:p>
            <w:pPr>
              <w:pStyle w:val="56"/>
              <w:spacing w:before="5" w:after="5"/>
              <w:rPr>
                <w:highlight w:val="yellow"/>
              </w:rPr>
            </w:pPr>
            <w:r>
              <w:rPr>
                <w:rFonts w:hint="eastAsia"/>
              </w:rPr>
              <w:t>2021.0</w:t>
            </w:r>
            <w:r>
              <w:t>7.22</w:t>
            </w:r>
          </w:p>
        </w:tc>
        <w:tc>
          <w:tcPr>
            <w:tcW w:w="0" w:type="auto"/>
            <w:vMerge w:val="restart"/>
            <w:vAlign w:val="center"/>
          </w:tcPr>
          <w:p>
            <w:pPr>
              <w:pStyle w:val="56"/>
              <w:spacing w:before="5" w:after="5"/>
            </w:pPr>
            <w:r>
              <w:rPr>
                <w:rFonts w:hint="eastAsia"/>
              </w:rPr>
              <w:t>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1133" w:type="dxa"/>
            <w:vMerge w:val="continue"/>
            <w:vAlign w:val="center"/>
          </w:tcPr>
          <w:p>
            <w:pPr>
              <w:pStyle w:val="56"/>
              <w:spacing w:before="5" w:after="5"/>
            </w:pPr>
          </w:p>
        </w:tc>
        <w:tc>
          <w:tcPr>
            <w:tcW w:w="2123" w:type="dxa"/>
            <w:vMerge w:val="continue"/>
            <w:vAlign w:val="center"/>
          </w:tcPr>
          <w:p>
            <w:pPr>
              <w:pStyle w:val="56"/>
              <w:spacing w:before="5" w:after="5"/>
            </w:pPr>
          </w:p>
        </w:tc>
        <w:tc>
          <w:tcPr>
            <w:tcW w:w="0" w:type="auto"/>
            <w:vMerge w:val="continue"/>
            <w:vAlign w:val="center"/>
          </w:tcPr>
          <w:p>
            <w:pPr>
              <w:pStyle w:val="56"/>
              <w:spacing w:before="5" w:after="5"/>
            </w:pPr>
          </w:p>
        </w:tc>
        <w:tc>
          <w:tcPr>
            <w:tcW w:w="0" w:type="auto"/>
            <w:vAlign w:val="center"/>
          </w:tcPr>
          <w:p>
            <w:pPr>
              <w:pStyle w:val="56"/>
              <w:spacing w:before="5" w:after="5"/>
            </w:pPr>
            <w:r>
              <w:t>第一次</w:t>
            </w:r>
          </w:p>
        </w:tc>
        <w:tc>
          <w:tcPr>
            <w:tcW w:w="0" w:type="auto"/>
            <w:vAlign w:val="center"/>
          </w:tcPr>
          <w:p>
            <w:pPr>
              <w:pStyle w:val="56"/>
              <w:spacing w:before="5" w:after="5"/>
            </w:pPr>
            <w:r>
              <w:rPr>
                <w:rFonts w:hint="eastAsia"/>
              </w:rPr>
              <w:t>第二次</w:t>
            </w:r>
          </w:p>
        </w:tc>
        <w:tc>
          <w:tcPr>
            <w:tcW w:w="0" w:type="auto"/>
            <w:vAlign w:val="center"/>
          </w:tcPr>
          <w:p>
            <w:pPr>
              <w:pStyle w:val="56"/>
              <w:spacing w:before="5" w:after="5"/>
            </w:pPr>
            <w:r>
              <w:rPr>
                <w:rFonts w:hint="eastAsia"/>
              </w:rPr>
              <w:t>第三次</w:t>
            </w:r>
          </w:p>
        </w:tc>
        <w:tc>
          <w:tcPr>
            <w:tcW w:w="0" w:type="auto"/>
            <w:vAlign w:val="center"/>
          </w:tcPr>
          <w:p>
            <w:pPr>
              <w:pStyle w:val="56"/>
              <w:spacing w:before="5" w:after="5"/>
            </w:pPr>
            <w:r>
              <w:t>第一次</w:t>
            </w:r>
          </w:p>
        </w:tc>
        <w:tc>
          <w:tcPr>
            <w:tcW w:w="0" w:type="auto"/>
            <w:vAlign w:val="center"/>
          </w:tcPr>
          <w:p>
            <w:pPr>
              <w:pStyle w:val="56"/>
              <w:spacing w:before="5" w:after="5"/>
            </w:pPr>
            <w:r>
              <w:rPr>
                <w:rFonts w:hint="eastAsia"/>
              </w:rPr>
              <w:t>第二次</w:t>
            </w:r>
          </w:p>
        </w:tc>
        <w:tc>
          <w:tcPr>
            <w:tcW w:w="0" w:type="auto"/>
            <w:vAlign w:val="center"/>
          </w:tcPr>
          <w:p>
            <w:pPr>
              <w:pStyle w:val="56"/>
              <w:spacing w:before="5" w:after="5"/>
            </w:pPr>
            <w:r>
              <w:rPr>
                <w:rFonts w:hint="eastAsia"/>
              </w:rPr>
              <w:t>第三次</w:t>
            </w:r>
          </w:p>
        </w:tc>
        <w:tc>
          <w:tcPr>
            <w:tcW w:w="0" w:type="auto"/>
            <w:vMerge w:val="continue"/>
            <w:vAlign w:val="center"/>
          </w:tcPr>
          <w:p>
            <w:pPr>
              <w:pStyle w:val="56"/>
              <w:spacing w:before="5" w:after="5"/>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1133" w:type="dxa"/>
            <w:vMerge w:val="restart"/>
            <w:vAlign w:val="center"/>
          </w:tcPr>
          <w:p>
            <w:pPr>
              <w:pStyle w:val="56"/>
              <w:spacing w:before="5" w:after="5"/>
            </w:pPr>
            <w:r>
              <w:rPr>
                <w:rFonts w:hint="eastAsia"/>
              </w:rPr>
              <w:t>处理设施进口1</w:t>
            </w:r>
            <w:r>
              <w:t>#</w:t>
            </w:r>
          </w:p>
        </w:tc>
        <w:tc>
          <w:tcPr>
            <w:tcW w:w="2123" w:type="dxa"/>
            <w:vAlign w:val="center"/>
          </w:tcPr>
          <w:p>
            <w:pPr>
              <w:pStyle w:val="56"/>
              <w:spacing w:before="5" w:after="5"/>
            </w:pPr>
            <w:r>
              <w:rPr>
                <w:rFonts w:eastAsia="宋体" w:cs="Times New Roman"/>
                <w:szCs w:val="21"/>
              </w:rPr>
              <w:t>标干流量</w:t>
            </w:r>
          </w:p>
        </w:tc>
        <w:tc>
          <w:tcPr>
            <w:tcW w:w="0" w:type="auto"/>
            <w:vAlign w:val="center"/>
          </w:tcPr>
          <w:p>
            <w:pPr>
              <w:pStyle w:val="56"/>
              <w:spacing w:before="5" w:after="5"/>
            </w:pPr>
            <w:r>
              <w:rPr>
                <w:rFonts w:eastAsia="宋体" w:cs="Times New Roman"/>
                <w:szCs w:val="21"/>
              </w:rPr>
              <w:t>Nm³/h</w:t>
            </w:r>
          </w:p>
        </w:tc>
        <w:tc>
          <w:tcPr>
            <w:tcW w:w="0" w:type="auto"/>
            <w:vAlign w:val="center"/>
          </w:tcPr>
          <w:p>
            <w:pPr>
              <w:pStyle w:val="56"/>
              <w:spacing w:before="5" w:after="5"/>
            </w:pPr>
            <w:r>
              <w:rPr>
                <w:rFonts w:hint="eastAsia" w:cs="Times New Roman"/>
              </w:rPr>
              <w:t>18191</w:t>
            </w:r>
          </w:p>
        </w:tc>
        <w:tc>
          <w:tcPr>
            <w:tcW w:w="0" w:type="auto"/>
            <w:vAlign w:val="center"/>
          </w:tcPr>
          <w:p>
            <w:pPr>
              <w:pStyle w:val="56"/>
              <w:spacing w:before="5" w:after="5"/>
            </w:pPr>
            <w:r>
              <w:rPr>
                <w:rFonts w:hint="eastAsia" w:cs="Times New Roman"/>
              </w:rPr>
              <w:t>18818</w:t>
            </w:r>
          </w:p>
        </w:tc>
        <w:tc>
          <w:tcPr>
            <w:tcW w:w="0" w:type="auto"/>
            <w:vAlign w:val="center"/>
          </w:tcPr>
          <w:p>
            <w:pPr>
              <w:pStyle w:val="56"/>
              <w:spacing w:before="5" w:after="5"/>
            </w:pPr>
            <w:r>
              <w:rPr>
                <w:rFonts w:hint="eastAsia" w:cs="Times New Roman"/>
              </w:rPr>
              <w:t>17503</w:t>
            </w:r>
          </w:p>
        </w:tc>
        <w:tc>
          <w:tcPr>
            <w:tcW w:w="0" w:type="auto"/>
            <w:vAlign w:val="center"/>
          </w:tcPr>
          <w:p>
            <w:pPr>
              <w:pStyle w:val="56"/>
              <w:spacing w:before="5" w:after="5"/>
            </w:pPr>
            <w:r>
              <w:rPr>
                <w:rFonts w:hint="eastAsia" w:cs="Times New Roman"/>
              </w:rPr>
              <w:t>18125</w:t>
            </w:r>
          </w:p>
        </w:tc>
        <w:tc>
          <w:tcPr>
            <w:tcW w:w="0" w:type="auto"/>
            <w:vAlign w:val="center"/>
          </w:tcPr>
          <w:p>
            <w:pPr>
              <w:pStyle w:val="56"/>
              <w:spacing w:before="5" w:after="5"/>
            </w:pPr>
            <w:r>
              <w:rPr>
                <w:rFonts w:hint="eastAsia" w:cs="Times New Roman"/>
              </w:rPr>
              <w:t>18095</w:t>
            </w:r>
          </w:p>
        </w:tc>
        <w:tc>
          <w:tcPr>
            <w:tcW w:w="0" w:type="auto"/>
            <w:vAlign w:val="center"/>
          </w:tcPr>
          <w:p>
            <w:pPr>
              <w:pStyle w:val="56"/>
              <w:spacing w:before="5" w:after="5"/>
            </w:pPr>
            <w:r>
              <w:rPr>
                <w:rFonts w:hint="eastAsia" w:cs="Times New Roman"/>
              </w:rPr>
              <w:t>17372</w:t>
            </w:r>
          </w:p>
        </w:tc>
        <w:tc>
          <w:tcPr>
            <w:tcW w:w="0" w:type="auto"/>
            <w:vAlign w:val="center"/>
          </w:tcPr>
          <w:p>
            <w:pPr>
              <w:pStyle w:val="56"/>
              <w:spacing w:before="5" w:after="5"/>
            </w:pPr>
            <w:r>
              <w:rPr>
                <w:rFonts w:hint="eastAsia"/>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1133" w:type="dxa"/>
            <w:vMerge w:val="continue"/>
            <w:vAlign w:val="center"/>
          </w:tcPr>
          <w:p>
            <w:pPr>
              <w:pStyle w:val="56"/>
              <w:spacing w:before="5" w:after="5"/>
            </w:pPr>
          </w:p>
        </w:tc>
        <w:tc>
          <w:tcPr>
            <w:tcW w:w="2123" w:type="dxa"/>
            <w:vAlign w:val="center"/>
          </w:tcPr>
          <w:p>
            <w:pPr>
              <w:pStyle w:val="56"/>
              <w:spacing w:before="5" w:after="5"/>
            </w:pPr>
            <w:r>
              <w:rPr>
                <w:rFonts w:hint="eastAsia" w:cs="Times New Roman"/>
              </w:rPr>
              <w:t>非甲烷总烃</w:t>
            </w:r>
            <w:r>
              <w:rPr>
                <w:rFonts w:eastAsia="宋体" w:cs="Times New Roman"/>
              </w:rPr>
              <w:t>实测浓度</w:t>
            </w:r>
          </w:p>
        </w:tc>
        <w:tc>
          <w:tcPr>
            <w:tcW w:w="0" w:type="auto"/>
            <w:vAlign w:val="center"/>
          </w:tcPr>
          <w:p>
            <w:pPr>
              <w:pStyle w:val="56"/>
              <w:spacing w:before="5" w:after="5"/>
            </w:pPr>
            <w:r>
              <w:rPr>
                <w:rFonts w:eastAsia="宋体" w:cs="Times New Roman"/>
              </w:rPr>
              <w:t>mg/m</w:t>
            </w:r>
            <w:r>
              <w:rPr>
                <w:rFonts w:eastAsia="宋体" w:cs="Times New Roman"/>
                <w:vertAlign w:val="superscript"/>
              </w:rPr>
              <w:t>3</w:t>
            </w:r>
          </w:p>
        </w:tc>
        <w:tc>
          <w:tcPr>
            <w:tcW w:w="0" w:type="auto"/>
            <w:vAlign w:val="center"/>
          </w:tcPr>
          <w:p>
            <w:pPr>
              <w:pStyle w:val="56"/>
              <w:spacing w:before="5" w:after="5"/>
              <w:rPr>
                <w:rFonts w:hint="default" w:eastAsiaTheme="minorEastAsia"/>
                <w:lang w:val="en-US" w:eastAsia="zh-CN"/>
              </w:rPr>
            </w:pPr>
            <w:r>
              <w:rPr>
                <w:rFonts w:hint="eastAsia" w:eastAsia="宋体" w:cs="Times New Roman"/>
                <w:kern w:val="0"/>
                <w:szCs w:val="21"/>
                <w:lang w:val="en-US" w:eastAsia="zh-CN" w:bidi="ar"/>
              </w:rPr>
              <w:t>10.6</w:t>
            </w:r>
          </w:p>
        </w:tc>
        <w:tc>
          <w:tcPr>
            <w:tcW w:w="0" w:type="auto"/>
            <w:vAlign w:val="center"/>
          </w:tcPr>
          <w:p>
            <w:pPr>
              <w:pStyle w:val="56"/>
              <w:spacing w:before="5" w:after="5"/>
            </w:pPr>
            <w:r>
              <w:rPr>
                <w:rFonts w:hint="eastAsia" w:eastAsia="宋体" w:cs="Times New Roman"/>
                <w:kern w:val="0"/>
                <w:szCs w:val="21"/>
                <w:lang w:val="en-US" w:eastAsia="zh-CN" w:bidi="ar"/>
              </w:rPr>
              <w:t>11</w:t>
            </w:r>
            <w:r>
              <w:rPr>
                <w:rFonts w:eastAsia="宋体" w:cs="Times New Roman"/>
                <w:kern w:val="0"/>
                <w:szCs w:val="21"/>
                <w:lang w:bidi="ar"/>
              </w:rPr>
              <w:t>.4</w:t>
            </w:r>
          </w:p>
        </w:tc>
        <w:tc>
          <w:tcPr>
            <w:tcW w:w="0" w:type="auto"/>
            <w:vAlign w:val="center"/>
          </w:tcPr>
          <w:p>
            <w:pPr>
              <w:pStyle w:val="56"/>
              <w:spacing w:before="5" w:after="5"/>
            </w:pPr>
            <w:r>
              <w:rPr>
                <w:rFonts w:hint="eastAsia" w:eastAsia="宋体" w:cs="Times New Roman"/>
                <w:kern w:val="0"/>
                <w:szCs w:val="21"/>
                <w:lang w:val="en-US" w:eastAsia="zh-CN" w:bidi="ar"/>
              </w:rPr>
              <w:t>10</w:t>
            </w:r>
            <w:r>
              <w:rPr>
                <w:rFonts w:eastAsia="宋体" w:cs="Times New Roman"/>
                <w:kern w:val="0"/>
                <w:szCs w:val="21"/>
                <w:lang w:bidi="ar"/>
              </w:rPr>
              <w:t>.1</w:t>
            </w:r>
          </w:p>
        </w:tc>
        <w:tc>
          <w:tcPr>
            <w:tcW w:w="0" w:type="auto"/>
            <w:vAlign w:val="center"/>
          </w:tcPr>
          <w:p>
            <w:pPr>
              <w:pStyle w:val="56"/>
              <w:spacing w:before="5" w:after="5"/>
            </w:pPr>
            <w:r>
              <w:rPr>
                <w:rFonts w:hint="eastAsia" w:eastAsia="宋体" w:cs="Times New Roman"/>
                <w:kern w:val="0"/>
                <w:szCs w:val="21"/>
                <w:lang w:val="en-US" w:eastAsia="zh-CN" w:bidi="ar"/>
              </w:rPr>
              <w:t>1</w:t>
            </w:r>
            <w:r>
              <w:rPr>
                <w:rFonts w:eastAsia="宋体" w:cs="Times New Roman"/>
                <w:kern w:val="0"/>
                <w:szCs w:val="21"/>
                <w:lang w:bidi="ar"/>
              </w:rPr>
              <w:t>1.</w:t>
            </w:r>
            <w:r>
              <w:rPr>
                <w:rFonts w:hint="eastAsia" w:cs="Times New Roman"/>
                <w:kern w:val="0"/>
                <w:szCs w:val="21"/>
                <w:lang w:bidi="ar"/>
              </w:rPr>
              <w:t>1</w:t>
            </w:r>
          </w:p>
        </w:tc>
        <w:tc>
          <w:tcPr>
            <w:tcW w:w="0" w:type="auto"/>
            <w:vAlign w:val="center"/>
          </w:tcPr>
          <w:p>
            <w:pPr>
              <w:pStyle w:val="56"/>
              <w:spacing w:before="5" w:after="5"/>
            </w:pPr>
            <w:r>
              <w:rPr>
                <w:rFonts w:hint="eastAsia" w:eastAsia="宋体" w:cs="Times New Roman"/>
                <w:kern w:val="0"/>
                <w:szCs w:val="21"/>
                <w:lang w:val="en-US" w:eastAsia="zh-CN" w:bidi="ar"/>
              </w:rPr>
              <w:t>11</w:t>
            </w:r>
            <w:r>
              <w:rPr>
                <w:rFonts w:eastAsia="宋体" w:cs="Times New Roman"/>
                <w:kern w:val="0"/>
                <w:szCs w:val="21"/>
                <w:lang w:bidi="ar"/>
              </w:rPr>
              <w:t>.4</w:t>
            </w:r>
          </w:p>
        </w:tc>
        <w:tc>
          <w:tcPr>
            <w:tcW w:w="0" w:type="auto"/>
            <w:vAlign w:val="center"/>
          </w:tcPr>
          <w:p>
            <w:pPr>
              <w:pStyle w:val="56"/>
              <w:spacing w:before="5" w:after="5"/>
            </w:pPr>
            <w:r>
              <w:rPr>
                <w:rFonts w:hint="eastAsia" w:cs="Times New Roman"/>
                <w:kern w:val="0"/>
                <w:szCs w:val="21"/>
                <w:lang w:val="en-US" w:eastAsia="zh-CN" w:bidi="ar"/>
              </w:rPr>
              <w:t>10</w:t>
            </w:r>
            <w:r>
              <w:rPr>
                <w:rFonts w:hint="eastAsia" w:cs="Times New Roman"/>
                <w:kern w:val="0"/>
                <w:szCs w:val="21"/>
                <w:lang w:bidi="ar"/>
              </w:rPr>
              <w:t>.9</w:t>
            </w:r>
          </w:p>
        </w:tc>
        <w:tc>
          <w:tcPr>
            <w:tcW w:w="0" w:type="auto"/>
            <w:vAlign w:val="center"/>
          </w:tcPr>
          <w:p>
            <w:pPr>
              <w:pStyle w:val="56"/>
              <w:spacing w:before="5" w:after="5"/>
            </w:pPr>
            <w:r>
              <w:rPr>
                <w:rFonts w:hint="eastAsia"/>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1133" w:type="dxa"/>
            <w:vMerge w:val="restart"/>
            <w:vAlign w:val="center"/>
          </w:tcPr>
          <w:p>
            <w:pPr>
              <w:pStyle w:val="56"/>
              <w:spacing w:before="5" w:after="5"/>
            </w:pPr>
            <w:r>
              <w:rPr>
                <w:rFonts w:hint="eastAsia"/>
              </w:rPr>
              <w:t>处理设施出口</w:t>
            </w:r>
            <w:r>
              <w:t>2#</w:t>
            </w:r>
          </w:p>
        </w:tc>
        <w:tc>
          <w:tcPr>
            <w:tcW w:w="2123" w:type="dxa"/>
            <w:vAlign w:val="center"/>
          </w:tcPr>
          <w:p>
            <w:pPr>
              <w:pStyle w:val="56"/>
              <w:spacing w:before="5" w:after="5"/>
            </w:pPr>
            <w:r>
              <w:rPr>
                <w:rFonts w:eastAsia="宋体" w:cs="Times New Roman"/>
                <w:szCs w:val="21"/>
              </w:rPr>
              <w:t>标干流量</w:t>
            </w:r>
          </w:p>
        </w:tc>
        <w:tc>
          <w:tcPr>
            <w:tcW w:w="0" w:type="auto"/>
            <w:vAlign w:val="center"/>
          </w:tcPr>
          <w:p>
            <w:pPr>
              <w:pStyle w:val="56"/>
              <w:spacing w:before="5" w:after="5"/>
            </w:pPr>
            <w:r>
              <w:rPr>
                <w:rFonts w:eastAsia="宋体" w:cs="Times New Roman"/>
                <w:szCs w:val="21"/>
              </w:rPr>
              <w:t>Nm³/h</w:t>
            </w:r>
          </w:p>
        </w:tc>
        <w:tc>
          <w:tcPr>
            <w:tcW w:w="0" w:type="auto"/>
            <w:vAlign w:val="center"/>
          </w:tcPr>
          <w:p>
            <w:pPr>
              <w:pStyle w:val="56"/>
              <w:spacing w:before="5" w:after="5"/>
            </w:pPr>
            <w:r>
              <w:rPr>
                <w:rFonts w:hint="eastAsia" w:cs="Times New Roman"/>
                <w:szCs w:val="21"/>
              </w:rPr>
              <w:t>16854</w:t>
            </w:r>
          </w:p>
        </w:tc>
        <w:tc>
          <w:tcPr>
            <w:tcW w:w="0" w:type="auto"/>
            <w:vAlign w:val="center"/>
          </w:tcPr>
          <w:p>
            <w:pPr>
              <w:pStyle w:val="56"/>
              <w:spacing w:before="5" w:after="5"/>
            </w:pPr>
            <w:r>
              <w:rPr>
                <w:rFonts w:hint="eastAsia" w:cs="Times New Roman"/>
                <w:szCs w:val="21"/>
              </w:rPr>
              <w:t>17574</w:t>
            </w:r>
          </w:p>
        </w:tc>
        <w:tc>
          <w:tcPr>
            <w:tcW w:w="0" w:type="auto"/>
            <w:vAlign w:val="center"/>
          </w:tcPr>
          <w:p>
            <w:pPr>
              <w:pStyle w:val="56"/>
              <w:spacing w:before="5" w:after="5"/>
            </w:pPr>
            <w:r>
              <w:rPr>
                <w:rFonts w:hint="eastAsia" w:cs="Times New Roman"/>
                <w:szCs w:val="21"/>
              </w:rPr>
              <w:t>16122</w:t>
            </w:r>
          </w:p>
        </w:tc>
        <w:tc>
          <w:tcPr>
            <w:tcW w:w="0" w:type="auto"/>
            <w:vAlign w:val="center"/>
          </w:tcPr>
          <w:p>
            <w:pPr>
              <w:pStyle w:val="56"/>
              <w:spacing w:before="5" w:after="5"/>
            </w:pPr>
            <w:r>
              <w:rPr>
                <w:rFonts w:hint="eastAsia" w:cs="Times New Roman"/>
                <w:kern w:val="0"/>
                <w:szCs w:val="21"/>
                <w:lang w:bidi="ar"/>
              </w:rPr>
              <w:t>16672</w:t>
            </w:r>
          </w:p>
        </w:tc>
        <w:tc>
          <w:tcPr>
            <w:tcW w:w="0" w:type="auto"/>
            <w:vAlign w:val="center"/>
          </w:tcPr>
          <w:p>
            <w:pPr>
              <w:pStyle w:val="56"/>
              <w:spacing w:before="5" w:after="5"/>
            </w:pPr>
            <w:r>
              <w:rPr>
                <w:rFonts w:hint="eastAsia" w:cs="Times New Roman"/>
                <w:kern w:val="0"/>
                <w:szCs w:val="21"/>
                <w:lang w:bidi="ar"/>
              </w:rPr>
              <w:t>17639</w:t>
            </w:r>
          </w:p>
        </w:tc>
        <w:tc>
          <w:tcPr>
            <w:tcW w:w="0" w:type="auto"/>
            <w:vAlign w:val="center"/>
          </w:tcPr>
          <w:p>
            <w:pPr>
              <w:pStyle w:val="56"/>
              <w:spacing w:before="5" w:after="5"/>
            </w:pPr>
            <w:r>
              <w:rPr>
                <w:rFonts w:hint="eastAsia" w:cs="Times New Roman"/>
                <w:kern w:val="0"/>
                <w:szCs w:val="21"/>
                <w:lang w:bidi="ar"/>
              </w:rPr>
              <w:t>16171</w:t>
            </w:r>
          </w:p>
        </w:tc>
        <w:tc>
          <w:tcPr>
            <w:tcW w:w="0" w:type="auto"/>
            <w:vAlign w:val="center"/>
          </w:tcPr>
          <w:p>
            <w:pPr>
              <w:pStyle w:val="56"/>
              <w:spacing w:before="5" w:after="5"/>
            </w:pPr>
            <w:r>
              <w:rPr>
                <w:rFonts w:hint="eastAsia"/>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1133" w:type="dxa"/>
            <w:vMerge w:val="continue"/>
            <w:vAlign w:val="center"/>
          </w:tcPr>
          <w:p>
            <w:pPr>
              <w:pStyle w:val="56"/>
              <w:spacing w:before="5" w:after="5"/>
            </w:pPr>
          </w:p>
        </w:tc>
        <w:tc>
          <w:tcPr>
            <w:tcW w:w="2123" w:type="dxa"/>
            <w:vAlign w:val="center"/>
          </w:tcPr>
          <w:p>
            <w:pPr>
              <w:pStyle w:val="56"/>
              <w:spacing w:before="5" w:after="5"/>
            </w:pPr>
            <w:r>
              <w:rPr>
                <w:rFonts w:hint="eastAsia" w:cs="Times New Roman"/>
              </w:rPr>
              <w:t>非甲烷总烃</w:t>
            </w:r>
            <w:r>
              <w:rPr>
                <w:rFonts w:eastAsia="宋体" w:cs="Times New Roman"/>
              </w:rPr>
              <w:t>实测浓度</w:t>
            </w:r>
          </w:p>
        </w:tc>
        <w:tc>
          <w:tcPr>
            <w:tcW w:w="0" w:type="auto"/>
            <w:vAlign w:val="center"/>
          </w:tcPr>
          <w:p>
            <w:pPr>
              <w:pStyle w:val="56"/>
              <w:spacing w:before="5" w:after="5"/>
            </w:pPr>
            <w:r>
              <w:rPr>
                <w:rFonts w:eastAsia="宋体" w:cs="Times New Roman"/>
              </w:rPr>
              <w:t>mg/m</w:t>
            </w:r>
            <w:r>
              <w:rPr>
                <w:rFonts w:eastAsia="宋体" w:cs="Times New Roman"/>
                <w:vertAlign w:val="superscript"/>
              </w:rPr>
              <w:t>3</w:t>
            </w:r>
          </w:p>
        </w:tc>
        <w:tc>
          <w:tcPr>
            <w:tcW w:w="0" w:type="auto"/>
            <w:vAlign w:val="center"/>
          </w:tcPr>
          <w:p>
            <w:pPr>
              <w:pStyle w:val="56"/>
              <w:spacing w:before="5" w:after="5"/>
              <w:rPr>
                <w:rFonts w:hint="default" w:eastAsiaTheme="minorEastAsia"/>
                <w:lang w:val="en-US" w:eastAsia="zh-CN"/>
              </w:rPr>
            </w:pPr>
            <w:r>
              <w:rPr>
                <w:rFonts w:hint="eastAsia" w:cs="Times New Roman"/>
                <w:szCs w:val="21"/>
                <w:lang w:val="en-US" w:eastAsia="zh-CN"/>
              </w:rPr>
              <w:t>0.74</w:t>
            </w:r>
          </w:p>
        </w:tc>
        <w:tc>
          <w:tcPr>
            <w:tcW w:w="0" w:type="auto"/>
            <w:vAlign w:val="center"/>
          </w:tcPr>
          <w:p>
            <w:pPr>
              <w:pStyle w:val="56"/>
              <w:spacing w:before="5" w:after="5"/>
              <w:rPr>
                <w:rFonts w:hint="default" w:eastAsiaTheme="minorEastAsia"/>
                <w:lang w:val="en-US" w:eastAsia="zh-CN"/>
              </w:rPr>
            </w:pPr>
            <w:r>
              <w:rPr>
                <w:rFonts w:hint="eastAsia" w:cs="Times New Roman"/>
                <w:szCs w:val="21"/>
                <w:lang w:val="en-US" w:eastAsia="zh-CN"/>
              </w:rPr>
              <w:t>0.85</w:t>
            </w:r>
          </w:p>
        </w:tc>
        <w:tc>
          <w:tcPr>
            <w:tcW w:w="0" w:type="auto"/>
            <w:vAlign w:val="center"/>
          </w:tcPr>
          <w:p>
            <w:pPr>
              <w:pStyle w:val="56"/>
              <w:spacing w:before="5" w:after="5"/>
              <w:rPr>
                <w:rFonts w:hint="default" w:eastAsiaTheme="minorEastAsia"/>
                <w:lang w:val="en-US" w:eastAsia="zh-CN"/>
              </w:rPr>
            </w:pPr>
            <w:r>
              <w:rPr>
                <w:rFonts w:hint="eastAsia" w:cs="Times New Roman"/>
                <w:szCs w:val="21"/>
                <w:lang w:val="en-US" w:eastAsia="zh-CN"/>
              </w:rPr>
              <w:t>0.80</w:t>
            </w:r>
          </w:p>
        </w:tc>
        <w:tc>
          <w:tcPr>
            <w:tcW w:w="0" w:type="auto"/>
            <w:vAlign w:val="center"/>
          </w:tcPr>
          <w:p>
            <w:pPr>
              <w:pStyle w:val="56"/>
              <w:spacing w:before="5" w:after="5"/>
              <w:rPr>
                <w:rFonts w:hint="default" w:eastAsiaTheme="minorEastAsia"/>
                <w:lang w:val="en-US" w:eastAsia="zh-CN"/>
              </w:rPr>
            </w:pPr>
            <w:r>
              <w:rPr>
                <w:rFonts w:hint="eastAsia" w:cs="Times New Roman"/>
                <w:kern w:val="0"/>
                <w:szCs w:val="21"/>
                <w:lang w:val="en-US" w:eastAsia="zh-CN" w:bidi="ar"/>
              </w:rPr>
              <w:t>0.78</w:t>
            </w:r>
          </w:p>
        </w:tc>
        <w:tc>
          <w:tcPr>
            <w:tcW w:w="0" w:type="auto"/>
            <w:vAlign w:val="center"/>
          </w:tcPr>
          <w:p>
            <w:pPr>
              <w:pStyle w:val="56"/>
              <w:spacing w:before="5" w:after="5"/>
              <w:rPr>
                <w:rFonts w:hint="default" w:eastAsiaTheme="minorEastAsia"/>
                <w:lang w:val="en-US" w:eastAsia="zh-CN"/>
              </w:rPr>
            </w:pPr>
            <w:r>
              <w:rPr>
                <w:rFonts w:hint="eastAsia" w:cs="Times New Roman"/>
                <w:kern w:val="0"/>
                <w:szCs w:val="21"/>
                <w:lang w:val="en-US" w:eastAsia="zh-CN" w:bidi="ar"/>
              </w:rPr>
              <w:t>0.81</w:t>
            </w:r>
          </w:p>
        </w:tc>
        <w:tc>
          <w:tcPr>
            <w:tcW w:w="0" w:type="auto"/>
            <w:vAlign w:val="center"/>
          </w:tcPr>
          <w:p>
            <w:pPr>
              <w:pStyle w:val="56"/>
              <w:spacing w:before="5" w:after="5"/>
              <w:rPr>
                <w:rFonts w:hint="default" w:eastAsiaTheme="minorEastAsia"/>
                <w:lang w:val="en-US" w:eastAsia="zh-CN"/>
              </w:rPr>
            </w:pPr>
            <w:r>
              <w:rPr>
                <w:rFonts w:hint="eastAsia" w:cs="Times New Roman"/>
                <w:kern w:val="0"/>
                <w:szCs w:val="21"/>
                <w:lang w:val="en-US" w:eastAsia="zh-CN" w:bidi="ar"/>
              </w:rPr>
              <w:t>0.82</w:t>
            </w:r>
          </w:p>
        </w:tc>
        <w:tc>
          <w:tcPr>
            <w:tcW w:w="0" w:type="auto"/>
            <w:vAlign w:val="center"/>
          </w:tcPr>
          <w:p>
            <w:pPr>
              <w:pStyle w:val="56"/>
              <w:spacing w:before="5" w:after="5"/>
            </w:pPr>
            <w:r>
              <w:rPr>
                <w:rFonts w:hint="eastAsia"/>
              </w:rPr>
              <w:t>5</w:t>
            </w:r>
            <w: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1133" w:type="dxa"/>
            <w:vMerge w:val="continue"/>
            <w:vAlign w:val="center"/>
          </w:tcPr>
          <w:p>
            <w:pPr>
              <w:pStyle w:val="56"/>
              <w:spacing w:before="5" w:after="5"/>
            </w:pPr>
          </w:p>
        </w:tc>
        <w:tc>
          <w:tcPr>
            <w:tcW w:w="2123" w:type="dxa"/>
            <w:vAlign w:val="center"/>
          </w:tcPr>
          <w:p>
            <w:pPr>
              <w:pStyle w:val="56"/>
              <w:spacing w:before="5" w:after="5"/>
            </w:pPr>
            <w:r>
              <w:rPr>
                <w:rFonts w:hint="eastAsia" w:cs="Times New Roman"/>
              </w:rPr>
              <w:t>非甲烷总烃</w:t>
            </w:r>
            <w:r>
              <w:rPr>
                <w:rFonts w:eastAsia="宋体" w:cs="Times New Roman"/>
                <w:szCs w:val="21"/>
              </w:rPr>
              <w:t>排放</w:t>
            </w:r>
            <w:r>
              <w:rPr>
                <w:rFonts w:hint="eastAsia" w:cs="Times New Roman"/>
                <w:szCs w:val="21"/>
              </w:rPr>
              <w:t>速率</w:t>
            </w:r>
          </w:p>
        </w:tc>
        <w:tc>
          <w:tcPr>
            <w:tcW w:w="0" w:type="auto"/>
            <w:vAlign w:val="center"/>
          </w:tcPr>
          <w:p>
            <w:pPr>
              <w:pStyle w:val="56"/>
              <w:spacing w:before="5" w:after="5"/>
            </w:pPr>
            <w:r>
              <w:rPr>
                <w:rFonts w:eastAsia="宋体" w:cs="Times New Roman"/>
                <w:szCs w:val="21"/>
              </w:rPr>
              <w:t>kg/h</w:t>
            </w:r>
          </w:p>
        </w:tc>
        <w:tc>
          <w:tcPr>
            <w:tcW w:w="0" w:type="auto"/>
            <w:vAlign w:val="center"/>
          </w:tcPr>
          <w:p>
            <w:pPr>
              <w:pStyle w:val="56"/>
              <w:spacing w:before="5" w:after="5"/>
              <w:rPr>
                <w:rFonts w:hint="default" w:eastAsiaTheme="minorEastAsia"/>
                <w:lang w:val="en-US" w:eastAsia="zh-CN"/>
              </w:rPr>
            </w:pPr>
            <w:r>
              <w:rPr>
                <w:rFonts w:hint="eastAsia" w:cs="Times New Roman"/>
                <w:kern w:val="0"/>
                <w:szCs w:val="21"/>
                <w:lang w:val="en-US" w:eastAsia="zh-CN" w:bidi="ar"/>
              </w:rPr>
              <w:t>0.012</w:t>
            </w:r>
          </w:p>
        </w:tc>
        <w:tc>
          <w:tcPr>
            <w:tcW w:w="0" w:type="auto"/>
            <w:vAlign w:val="center"/>
          </w:tcPr>
          <w:p>
            <w:pPr>
              <w:pStyle w:val="56"/>
              <w:spacing w:before="5" w:after="5"/>
              <w:rPr>
                <w:rFonts w:hint="default" w:eastAsiaTheme="minorEastAsia"/>
                <w:lang w:val="en-US" w:eastAsia="zh-CN"/>
              </w:rPr>
            </w:pPr>
            <w:r>
              <w:rPr>
                <w:rFonts w:hint="eastAsia" w:cs="Times New Roman"/>
                <w:kern w:val="0"/>
                <w:szCs w:val="21"/>
                <w:lang w:val="en-US" w:eastAsia="zh-CN" w:bidi="ar"/>
              </w:rPr>
              <w:t>0.015</w:t>
            </w:r>
          </w:p>
        </w:tc>
        <w:tc>
          <w:tcPr>
            <w:tcW w:w="0" w:type="auto"/>
            <w:vAlign w:val="center"/>
          </w:tcPr>
          <w:p>
            <w:pPr>
              <w:pStyle w:val="56"/>
              <w:spacing w:before="5" w:after="5"/>
              <w:rPr>
                <w:rFonts w:hint="default" w:eastAsiaTheme="minorEastAsia"/>
                <w:lang w:val="en-US" w:eastAsia="zh-CN"/>
              </w:rPr>
            </w:pPr>
            <w:r>
              <w:rPr>
                <w:rFonts w:hint="eastAsia" w:cs="Times New Roman"/>
                <w:kern w:val="0"/>
                <w:szCs w:val="21"/>
                <w:lang w:bidi="ar"/>
              </w:rPr>
              <w:t>0.0</w:t>
            </w:r>
            <w:r>
              <w:rPr>
                <w:rFonts w:hint="eastAsia" w:cs="Times New Roman"/>
                <w:kern w:val="0"/>
                <w:szCs w:val="21"/>
                <w:lang w:val="en-US" w:eastAsia="zh-CN" w:bidi="ar"/>
              </w:rPr>
              <w:t>13</w:t>
            </w:r>
          </w:p>
        </w:tc>
        <w:tc>
          <w:tcPr>
            <w:tcW w:w="0" w:type="auto"/>
            <w:vAlign w:val="center"/>
          </w:tcPr>
          <w:p>
            <w:pPr>
              <w:pStyle w:val="56"/>
              <w:spacing w:before="5" w:after="5"/>
              <w:rPr>
                <w:rFonts w:hint="default" w:eastAsiaTheme="minorEastAsia"/>
                <w:lang w:val="en-US" w:eastAsia="zh-CN"/>
              </w:rPr>
            </w:pPr>
            <w:r>
              <w:rPr>
                <w:rFonts w:hint="eastAsia" w:cs="Times New Roman"/>
                <w:kern w:val="0"/>
                <w:szCs w:val="21"/>
                <w:lang w:bidi="ar"/>
              </w:rPr>
              <w:t>0.0</w:t>
            </w:r>
            <w:r>
              <w:rPr>
                <w:rFonts w:hint="eastAsia" w:cs="Times New Roman"/>
                <w:kern w:val="0"/>
                <w:szCs w:val="21"/>
                <w:lang w:val="en-US" w:eastAsia="zh-CN" w:bidi="ar"/>
              </w:rPr>
              <w:t>13</w:t>
            </w:r>
          </w:p>
        </w:tc>
        <w:tc>
          <w:tcPr>
            <w:tcW w:w="0" w:type="auto"/>
            <w:vAlign w:val="center"/>
          </w:tcPr>
          <w:p>
            <w:pPr>
              <w:pStyle w:val="56"/>
              <w:spacing w:before="5" w:after="5"/>
              <w:rPr>
                <w:rFonts w:hint="default" w:eastAsiaTheme="minorEastAsia"/>
                <w:lang w:val="en-US" w:eastAsia="zh-CN"/>
              </w:rPr>
            </w:pPr>
            <w:r>
              <w:rPr>
                <w:rFonts w:hint="eastAsia" w:cs="Times New Roman"/>
                <w:kern w:val="0"/>
                <w:szCs w:val="21"/>
                <w:lang w:bidi="ar"/>
              </w:rPr>
              <w:t>0.0</w:t>
            </w:r>
            <w:r>
              <w:rPr>
                <w:rFonts w:hint="eastAsia" w:cs="Times New Roman"/>
                <w:kern w:val="0"/>
                <w:szCs w:val="21"/>
                <w:lang w:val="en-US" w:eastAsia="zh-CN" w:bidi="ar"/>
              </w:rPr>
              <w:t>14</w:t>
            </w:r>
          </w:p>
        </w:tc>
        <w:tc>
          <w:tcPr>
            <w:tcW w:w="0" w:type="auto"/>
            <w:vAlign w:val="center"/>
          </w:tcPr>
          <w:p>
            <w:pPr>
              <w:pStyle w:val="56"/>
              <w:spacing w:before="5" w:after="5"/>
            </w:pPr>
            <w:r>
              <w:rPr>
                <w:rFonts w:hint="eastAsia" w:cs="Times New Roman"/>
                <w:kern w:val="0"/>
                <w:szCs w:val="21"/>
                <w:lang w:bidi="ar"/>
              </w:rPr>
              <w:t>0.0</w:t>
            </w:r>
            <w:r>
              <w:rPr>
                <w:rFonts w:hint="eastAsia" w:cs="Times New Roman"/>
                <w:kern w:val="0"/>
                <w:szCs w:val="21"/>
                <w:lang w:val="en-US" w:eastAsia="zh-CN" w:bidi="ar"/>
              </w:rPr>
              <w:t>1</w:t>
            </w:r>
            <w:r>
              <w:rPr>
                <w:rFonts w:hint="eastAsia" w:cs="Times New Roman"/>
                <w:kern w:val="0"/>
                <w:szCs w:val="21"/>
                <w:lang w:bidi="ar"/>
              </w:rPr>
              <w:t>3</w:t>
            </w:r>
          </w:p>
        </w:tc>
        <w:tc>
          <w:tcPr>
            <w:tcW w:w="0" w:type="auto"/>
            <w:vAlign w:val="center"/>
          </w:tcPr>
          <w:p>
            <w:pPr>
              <w:pStyle w:val="56"/>
              <w:spacing w:before="5" w:after="5"/>
            </w:pPr>
            <w:r>
              <w:rPr>
                <w:rFonts w:hint="eastAsia"/>
              </w:rPr>
              <w:t>1</w:t>
            </w:r>
            <w: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1133" w:type="dxa"/>
            <w:vMerge w:val="continue"/>
            <w:vAlign w:val="center"/>
          </w:tcPr>
          <w:p>
            <w:pPr>
              <w:pStyle w:val="56"/>
              <w:spacing w:before="5" w:after="5"/>
            </w:pPr>
          </w:p>
        </w:tc>
        <w:tc>
          <w:tcPr>
            <w:tcW w:w="2123" w:type="dxa"/>
            <w:vAlign w:val="center"/>
          </w:tcPr>
          <w:p>
            <w:pPr>
              <w:pStyle w:val="56"/>
              <w:spacing w:before="5" w:after="5"/>
              <w:rPr>
                <w:highlight w:val="none"/>
              </w:rPr>
            </w:pPr>
            <w:r>
              <w:rPr>
                <w:rFonts w:hint="eastAsia"/>
                <w:highlight w:val="none"/>
              </w:rPr>
              <w:t>平均处理效率</w:t>
            </w:r>
          </w:p>
        </w:tc>
        <w:tc>
          <w:tcPr>
            <w:tcW w:w="0" w:type="auto"/>
            <w:vAlign w:val="center"/>
          </w:tcPr>
          <w:p>
            <w:pPr>
              <w:pStyle w:val="56"/>
              <w:spacing w:before="5" w:after="5"/>
              <w:rPr>
                <w:highlight w:val="none"/>
              </w:rPr>
            </w:pPr>
            <w:r>
              <w:rPr>
                <w:rFonts w:hint="eastAsia"/>
                <w:highlight w:val="none"/>
              </w:rPr>
              <w:t>%</w:t>
            </w:r>
          </w:p>
        </w:tc>
        <w:tc>
          <w:tcPr>
            <w:tcW w:w="0" w:type="auto"/>
            <w:vAlign w:val="center"/>
          </w:tcPr>
          <w:p>
            <w:pPr>
              <w:pStyle w:val="56"/>
              <w:spacing w:before="5" w:after="5"/>
              <w:rPr>
                <w:rFonts w:cs="Times New Roman"/>
                <w:szCs w:val="21"/>
                <w:highlight w:val="none"/>
              </w:rPr>
            </w:pPr>
            <w:r>
              <w:rPr>
                <w:rFonts w:eastAsia="等线" w:cs="Times New Roman"/>
                <w:szCs w:val="21"/>
                <w:highlight w:val="none"/>
              </w:rPr>
              <w:t>0.9</w:t>
            </w:r>
            <w:r>
              <w:rPr>
                <w:rFonts w:hint="eastAsia" w:eastAsia="等线" w:cs="Times New Roman"/>
                <w:szCs w:val="21"/>
                <w:highlight w:val="none"/>
                <w:lang w:val="en-US" w:eastAsia="zh-CN"/>
              </w:rPr>
              <w:t>4</w:t>
            </w:r>
            <w:r>
              <w:rPr>
                <w:rFonts w:eastAsia="等线" w:cs="Times New Roman"/>
                <w:szCs w:val="21"/>
                <w:highlight w:val="none"/>
              </w:rPr>
              <w:t xml:space="preserve"> </w:t>
            </w:r>
          </w:p>
        </w:tc>
        <w:tc>
          <w:tcPr>
            <w:tcW w:w="0" w:type="auto"/>
            <w:vAlign w:val="center"/>
          </w:tcPr>
          <w:p>
            <w:pPr>
              <w:pStyle w:val="56"/>
              <w:spacing w:before="5" w:after="5"/>
              <w:rPr>
                <w:rFonts w:cs="Times New Roman"/>
                <w:szCs w:val="21"/>
                <w:highlight w:val="none"/>
              </w:rPr>
            </w:pPr>
            <w:r>
              <w:rPr>
                <w:rFonts w:eastAsia="等线" w:cs="Times New Roman"/>
                <w:szCs w:val="21"/>
                <w:highlight w:val="none"/>
              </w:rPr>
              <w:t>0.9</w:t>
            </w:r>
            <w:r>
              <w:rPr>
                <w:rFonts w:hint="eastAsia" w:eastAsia="等线" w:cs="Times New Roman"/>
                <w:szCs w:val="21"/>
                <w:highlight w:val="none"/>
                <w:lang w:val="en-US" w:eastAsia="zh-CN"/>
              </w:rPr>
              <w:t>3</w:t>
            </w:r>
            <w:r>
              <w:rPr>
                <w:rFonts w:eastAsia="等线" w:cs="Times New Roman"/>
                <w:szCs w:val="21"/>
                <w:highlight w:val="none"/>
              </w:rPr>
              <w:t xml:space="preserve"> </w:t>
            </w:r>
          </w:p>
        </w:tc>
        <w:tc>
          <w:tcPr>
            <w:tcW w:w="0" w:type="auto"/>
            <w:vAlign w:val="center"/>
          </w:tcPr>
          <w:p>
            <w:pPr>
              <w:pStyle w:val="56"/>
              <w:spacing w:before="5" w:after="5"/>
              <w:rPr>
                <w:rFonts w:cs="Times New Roman"/>
                <w:szCs w:val="21"/>
                <w:highlight w:val="none"/>
              </w:rPr>
            </w:pPr>
            <w:r>
              <w:rPr>
                <w:rFonts w:eastAsia="等线" w:cs="Times New Roman"/>
                <w:szCs w:val="21"/>
                <w:highlight w:val="none"/>
              </w:rPr>
              <w:t>0.9</w:t>
            </w:r>
            <w:r>
              <w:rPr>
                <w:rFonts w:hint="eastAsia" w:eastAsia="等线" w:cs="Times New Roman"/>
                <w:szCs w:val="21"/>
                <w:highlight w:val="none"/>
                <w:lang w:val="en-US" w:eastAsia="zh-CN"/>
              </w:rPr>
              <w:t>3</w:t>
            </w:r>
            <w:r>
              <w:rPr>
                <w:rFonts w:eastAsia="等线" w:cs="Times New Roman"/>
                <w:szCs w:val="21"/>
                <w:highlight w:val="none"/>
              </w:rPr>
              <w:t xml:space="preserve"> </w:t>
            </w:r>
          </w:p>
        </w:tc>
        <w:tc>
          <w:tcPr>
            <w:tcW w:w="0" w:type="auto"/>
            <w:vAlign w:val="center"/>
          </w:tcPr>
          <w:p>
            <w:pPr>
              <w:pStyle w:val="56"/>
              <w:spacing w:before="5" w:after="5"/>
              <w:rPr>
                <w:rFonts w:cs="Times New Roman"/>
                <w:szCs w:val="21"/>
                <w:highlight w:val="none"/>
              </w:rPr>
            </w:pPr>
            <w:r>
              <w:rPr>
                <w:rFonts w:eastAsia="等线" w:cs="Times New Roman"/>
                <w:szCs w:val="21"/>
                <w:highlight w:val="none"/>
              </w:rPr>
              <w:t>0.9</w:t>
            </w:r>
            <w:r>
              <w:rPr>
                <w:rFonts w:hint="eastAsia" w:eastAsia="等线" w:cs="Times New Roman"/>
                <w:szCs w:val="21"/>
                <w:highlight w:val="none"/>
                <w:lang w:val="en-US" w:eastAsia="zh-CN"/>
              </w:rPr>
              <w:t>4</w:t>
            </w:r>
            <w:r>
              <w:rPr>
                <w:rFonts w:eastAsia="等线" w:cs="Times New Roman"/>
                <w:szCs w:val="21"/>
                <w:highlight w:val="none"/>
              </w:rPr>
              <w:t xml:space="preserve"> </w:t>
            </w:r>
          </w:p>
        </w:tc>
        <w:tc>
          <w:tcPr>
            <w:tcW w:w="0" w:type="auto"/>
            <w:vAlign w:val="center"/>
          </w:tcPr>
          <w:p>
            <w:pPr>
              <w:pStyle w:val="56"/>
              <w:spacing w:before="5" w:after="5"/>
              <w:rPr>
                <w:rFonts w:cs="Times New Roman"/>
                <w:szCs w:val="21"/>
                <w:highlight w:val="none"/>
              </w:rPr>
            </w:pPr>
            <w:r>
              <w:rPr>
                <w:rFonts w:eastAsia="等线" w:cs="Times New Roman"/>
                <w:szCs w:val="21"/>
                <w:highlight w:val="none"/>
              </w:rPr>
              <w:t>0.9</w:t>
            </w:r>
            <w:r>
              <w:rPr>
                <w:rFonts w:hint="eastAsia" w:eastAsia="等线" w:cs="Times New Roman"/>
                <w:szCs w:val="21"/>
                <w:highlight w:val="none"/>
                <w:lang w:val="en-US" w:eastAsia="zh-CN"/>
              </w:rPr>
              <w:t>3</w:t>
            </w:r>
            <w:r>
              <w:rPr>
                <w:rFonts w:eastAsia="等线" w:cs="Times New Roman"/>
                <w:szCs w:val="21"/>
                <w:highlight w:val="none"/>
              </w:rPr>
              <w:t xml:space="preserve"> </w:t>
            </w:r>
          </w:p>
        </w:tc>
        <w:tc>
          <w:tcPr>
            <w:tcW w:w="0" w:type="auto"/>
            <w:vAlign w:val="center"/>
          </w:tcPr>
          <w:p>
            <w:pPr>
              <w:pStyle w:val="56"/>
              <w:spacing w:before="5" w:after="5"/>
              <w:rPr>
                <w:rFonts w:cs="Times New Roman"/>
                <w:szCs w:val="21"/>
                <w:highlight w:val="none"/>
              </w:rPr>
            </w:pPr>
            <w:r>
              <w:rPr>
                <w:rFonts w:eastAsia="等线" w:cs="Times New Roman"/>
                <w:szCs w:val="21"/>
                <w:highlight w:val="none"/>
              </w:rPr>
              <w:t>0.9</w:t>
            </w:r>
            <w:r>
              <w:rPr>
                <w:rFonts w:hint="eastAsia" w:eastAsia="等线" w:cs="Times New Roman"/>
                <w:szCs w:val="21"/>
                <w:highlight w:val="none"/>
                <w:lang w:val="en-US" w:eastAsia="zh-CN"/>
              </w:rPr>
              <w:t>3</w:t>
            </w:r>
            <w:r>
              <w:rPr>
                <w:rFonts w:eastAsia="等线" w:cs="Times New Roman"/>
                <w:szCs w:val="21"/>
                <w:highlight w:val="none"/>
              </w:rPr>
              <w:t xml:space="preserve"> </w:t>
            </w:r>
          </w:p>
        </w:tc>
        <w:tc>
          <w:tcPr>
            <w:tcW w:w="0" w:type="auto"/>
            <w:vAlign w:val="center"/>
          </w:tcPr>
          <w:p>
            <w:pPr>
              <w:pStyle w:val="56"/>
              <w:spacing w:before="5" w:after="5"/>
            </w:pPr>
            <w:r>
              <w:rPr>
                <w:rFonts w:hint="eastAsia"/>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1133" w:type="dxa"/>
            <w:vMerge w:val="continue"/>
            <w:vAlign w:val="center"/>
          </w:tcPr>
          <w:p>
            <w:pPr>
              <w:pStyle w:val="56"/>
              <w:spacing w:before="5" w:after="5"/>
            </w:pPr>
          </w:p>
        </w:tc>
        <w:tc>
          <w:tcPr>
            <w:tcW w:w="2123" w:type="dxa"/>
            <w:vAlign w:val="center"/>
          </w:tcPr>
          <w:p>
            <w:pPr>
              <w:pStyle w:val="56"/>
              <w:spacing w:before="5" w:after="5"/>
            </w:pPr>
            <w:r>
              <w:t>达标情况</w:t>
            </w:r>
          </w:p>
        </w:tc>
        <w:tc>
          <w:tcPr>
            <w:tcW w:w="0" w:type="auto"/>
            <w:vAlign w:val="center"/>
          </w:tcPr>
          <w:p>
            <w:pPr>
              <w:pStyle w:val="56"/>
              <w:spacing w:before="5" w:after="5"/>
            </w:pPr>
            <w:r>
              <w:rPr>
                <w:rFonts w:hint="eastAsia"/>
              </w:rPr>
              <w:t>/</w:t>
            </w:r>
          </w:p>
        </w:tc>
        <w:tc>
          <w:tcPr>
            <w:tcW w:w="0" w:type="auto"/>
            <w:vAlign w:val="center"/>
          </w:tcPr>
          <w:p>
            <w:pPr>
              <w:pStyle w:val="56"/>
              <w:spacing w:before="5" w:after="5"/>
            </w:pPr>
            <w:r>
              <w:rPr>
                <w:rFonts w:hint="eastAsia"/>
              </w:rPr>
              <w:t>达标</w:t>
            </w:r>
          </w:p>
        </w:tc>
        <w:tc>
          <w:tcPr>
            <w:tcW w:w="0" w:type="auto"/>
            <w:vAlign w:val="center"/>
          </w:tcPr>
          <w:p>
            <w:pPr>
              <w:pStyle w:val="56"/>
              <w:spacing w:before="5" w:after="5"/>
            </w:pPr>
            <w:r>
              <w:rPr>
                <w:rFonts w:hint="eastAsia"/>
              </w:rPr>
              <w:t>达标</w:t>
            </w:r>
          </w:p>
        </w:tc>
        <w:tc>
          <w:tcPr>
            <w:tcW w:w="0" w:type="auto"/>
            <w:vAlign w:val="center"/>
          </w:tcPr>
          <w:p>
            <w:pPr>
              <w:pStyle w:val="56"/>
              <w:spacing w:before="5" w:after="5"/>
            </w:pPr>
            <w:r>
              <w:rPr>
                <w:rFonts w:hint="eastAsia"/>
              </w:rPr>
              <w:t>达标</w:t>
            </w:r>
          </w:p>
        </w:tc>
        <w:tc>
          <w:tcPr>
            <w:tcW w:w="0" w:type="auto"/>
            <w:vAlign w:val="center"/>
          </w:tcPr>
          <w:p>
            <w:pPr>
              <w:pStyle w:val="56"/>
              <w:spacing w:before="5" w:after="5"/>
            </w:pPr>
            <w:r>
              <w:rPr>
                <w:rFonts w:hint="eastAsia"/>
              </w:rPr>
              <w:t>达标</w:t>
            </w:r>
          </w:p>
        </w:tc>
        <w:tc>
          <w:tcPr>
            <w:tcW w:w="0" w:type="auto"/>
            <w:vAlign w:val="center"/>
          </w:tcPr>
          <w:p>
            <w:pPr>
              <w:pStyle w:val="56"/>
              <w:spacing w:before="5" w:after="5"/>
            </w:pPr>
            <w:r>
              <w:rPr>
                <w:rFonts w:hint="eastAsia"/>
              </w:rPr>
              <w:t>达标</w:t>
            </w:r>
          </w:p>
        </w:tc>
        <w:tc>
          <w:tcPr>
            <w:tcW w:w="0" w:type="auto"/>
            <w:vAlign w:val="center"/>
          </w:tcPr>
          <w:p>
            <w:pPr>
              <w:pStyle w:val="56"/>
              <w:spacing w:before="5" w:after="5"/>
            </w:pPr>
            <w:r>
              <w:rPr>
                <w:rFonts w:hint="eastAsia"/>
              </w:rPr>
              <w:t>达标</w:t>
            </w:r>
          </w:p>
        </w:tc>
        <w:tc>
          <w:tcPr>
            <w:tcW w:w="0" w:type="auto"/>
            <w:vAlign w:val="center"/>
          </w:tcPr>
          <w:p>
            <w:pPr>
              <w:pStyle w:val="56"/>
              <w:spacing w:before="5" w:after="5"/>
            </w:pPr>
            <w:r>
              <w:rPr>
                <w:rFonts w:hint="eastAsia"/>
              </w:rPr>
              <w:t>达标</w:t>
            </w:r>
          </w:p>
        </w:tc>
      </w:tr>
    </w:tbl>
    <w:p>
      <w:pPr>
        <w:ind w:firstLine="480"/>
      </w:pPr>
      <w:r>
        <w:rPr>
          <w:rFonts w:hint="eastAsia"/>
        </w:rPr>
        <w:t>根据上表的结果，项目有组织排放的非甲烷总烃均已达到《印刷业挥发性有机物排放标准》（DB21/3161-2019）中的限值要求。活性炭处理装置的处理效率达到环评提出的7</w:t>
      </w:r>
      <w:r>
        <w:t>0</w:t>
      </w:r>
      <w:r>
        <w:rPr>
          <w:rFonts w:hint="eastAsia"/>
        </w:rPr>
        <w:t>%要求。</w:t>
      </w:r>
    </w:p>
    <w:p>
      <w:pPr>
        <w:pStyle w:val="139"/>
      </w:pPr>
    </w:p>
    <w:p>
      <w:pPr>
        <w:ind w:firstLine="480"/>
      </w:pPr>
      <w:r>
        <w:t>（2）</w:t>
      </w:r>
      <w:r>
        <w:rPr>
          <w:rFonts w:hint="eastAsia"/>
        </w:rPr>
        <w:t>无</w:t>
      </w:r>
      <w:r>
        <w:t>组织废气监测</w:t>
      </w:r>
    </w:p>
    <w:p>
      <w:pPr>
        <w:pStyle w:val="2"/>
      </w:pPr>
      <w:r>
        <w:rPr>
          <w:rFonts w:hint="eastAsia"/>
        </w:rPr>
        <w:t>监测期间气象条件见下表。</w:t>
      </w:r>
    </w:p>
    <w:p>
      <w:pPr>
        <w:pStyle w:val="58"/>
      </w:pPr>
      <w:r>
        <w:t>表9.2-</w:t>
      </w:r>
      <w:r>
        <w:rPr>
          <w:rFonts w:hint="eastAsia"/>
        </w:rPr>
        <w:t>2</w:t>
      </w:r>
      <w:r>
        <w:t xml:space="preserve">                           气象信息统计表</w:t>
      </w:r>
    </w:p>
    <w:tbl>
      <w:tblPr>
        <w:tblStyle w:val="47"/>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57" w:type="dxa"/>
          <w:bottom w:w="0" w:type="dxa"/>
          <w:right w:w="28" w:type="dxa"/>
        </w:tblCellMar>
      </w:tblPr>
      <w:tblGrid>
        <w:gridCol w:w="1478"/>
        <w:gridCol w:w="1478"/>
        <w:gridCol w:w="1478"/>
        <w:gridCol w:w="1478"/>
        <w:gridCol w:w="1478"/>
        <w:gridCol w:w="148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tblHeader/>
          <w:jc w:val="center"/>
        </w:trPr>
        <w:tc>
          <w:tcPr>
            <w:tcW w:w="833" w:type="pct"/>
            <w:tcBorders>
              <w:tl2br w:val="nil"/>
              <w:tr2bl w:val="nil"/>
            </w:tcBorders>
            <w:vAlign w:val="center"/>
          </w:tcPr>
          <w:p>
            <w:pPr>
              <w:pStyle w:val="56"/>
              <w:spacing w:before="5" w:after="5"/>
            </w:pPr>
            <w:r>
              <w:t>日期</w:t>
            </w:r>
          </w:p>
        </w:tc>
        <w:tc>
          <w:tcPr>
            <w:tcW w:w="833" w:type="pct"/>
            <w:tcBorders>
              <w:tl2br w:val="nil"/>
              <w:tr2bl w:val="nil"/>
            </w:tcBorders>
            <w:vAlign w:val="center"/>
          </w:tcPr>
          <w:p>
            <w:pPr>
              <w:pStyle w:val="56"/>
              <w:spacing w:before="5" w:after="5"/>
            </w:pPr>
            <w:r>
              <w:t>天气情况</w:t>
            </w:r>
          </w:p>
        </w:tc>
        <w:tc>
          <w:tcPr>
            <w:tcW w:w="833" w:type="pct"/>
            <w:tcBorders>
              <w:tl2br w:val="nil"/>
              <w:tr2bl w:val="nil"/>
            </w:tcBorders>
            <w:vAlign w:val="center"/>
          </w:tcPr>
          <w:p>
            <w:pPr>
              <w:pStyle w:val="56"/>
              <w:spacing w:before="5" w:after="5"/>
            </w:pPr>
            <w:r>
              <w:t>风速</w:t>
            </w:r>
          </w:p>
        </w:tc>
        <w:tc>
          <w:tcPr>
            <w:tcW w:w="833" w:type="pct"/>
            <w:tcBorders>
              <w:tl2br w:val="nil"/>
              <w:tr2bl w:val="nil"/>
            </w:tcBorders>
            <w:vAlign w:val="center"/>
          </w:tcPr>
          <w:p>
            <w:pPr>
              <w:pStyle w:val="56"/>
              <w:spacing w:before="5" w:after="5"/>
            </w:pPr>
            <w:r>
              <w:t>风向</w:t>
            </w:r>
          </w:p>
        </w:tc>
        <w:tc>
          <w:tcPr>
            <w:tcW w:w="833" w:type="pct"/>
            <w:tcBorders>
              <w:tl2br w:val="nil"/>
              <w:tr2bl w:val="nil"/>
            </w:tcBorders>
            <w:vAlign w:val="center"/>
          </w:tcPr>
          <w:p>
            <w:pPr>
              <w:pStyle w:val="56"/>
              <w:spacing w:before="5" w:after="5"/>
            </w:pPr>
            <w:r>
              <w:t>温度</w:t>
            </w:r>
          </w:p>
        </w:tc>
        <w:tc>
          <w:tcPr>
            <w:tcW w:w="835" w:type="pct"/>
            <w:tcBorders>
              <w:tl2br w:val="nil"/>
              <w:tr2bl w:val="nil"/>
            </w:tcBorders>
            <w:vAlign w:val="center"/>
          </w:tcPr>
          <w:p>
            <w:pPr>
              <w:pStyle w:val="56"/>
              <w:spacing w:before="5" w:after="5"/>
            </w:pPr>
            <w:r>
              <w:t>大气压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833" w:type="pct"/>
            <w:tcBorders>
              <w:tl2br w:val="nil"/>
              <w:tr2bl w:val="nil"/>
            </w:tcBorders>
            <w:vAlign w:val="center"/>
          </w:tcPr>
          <w:p>
            <w:pPr>
              <w:pStyle w:val="56"/>
              <w:spacing w:before="5" w:after="5"/>
              <w:rPr>
                <w:bCs/>
              </w:rPr>
            </w:pPr>
            <w:r>
              <w:rPr>
                <w:rFonts w:hint="eastAsia" w:cs="Times New Roman"/>
                <w:bCs/>
                <w:szCs w:val="21"/>
              </w:rPr>
              <w:t>2021.07.21</w:t>
            </w:r>
          </w:p>
        </w:tc>
        <w:tc>
          <w:tcPr>
            <w:tcW w:w="833" w:type="pct"/>
            <w:tcBorders>
              <w:tl2br w:val="nil"/>
              <w:tr2bl w:val="nil"/>
            </w:tcBorders>
            <w:vAlign w:val="center"/>
          </w:tcPr>
          <w:p>
            <w:pPr>
              <w:pStyle w:val="56"/>
              <w:spacing w:before="5" w:after="5"/>
              <w:rPr>
                <w:bCs/>
              </w:rPr>
            </w:pPr>
            <w:r>
              <w:rPr>
                <w:rFonts w:hint="eastAsia" w:cs="Times New Roman"/>
                <w:bCs/>
                <w:szCs w:val="21"/>
              </w:rPr>
              <w:t>多云</w:t>
            </w:r>
          </w:p>
        </w:tc>
        <w:tc>
          <w:tcPr>
            <w:tcW w:w="833" w:type="pct"/>
            <w:tcBorders>
              <w:tl2br w:val="nil"/>
              <w:tr2bl w:val="nil"/>
            </w:tcBorders>
            <w:vAlign w:val="center"/>
          </w:tcPr>
          <w:p>
            <w:pPr>
              <w:pStyle w:val="56"/>
              <w:spacing w:before="5" w:after="5"/>
              <w:rPr>
                <w:bCs/>
              </w:rPr>
            </w:pPr>
            <w:r>
              <w:rPr>
                <w:rFonts w:hint="eastAsia" w:cs="Times New Roman"/>
                <w:bCs/>
                <w:szCs w:val="21"/>
              </w:rPr>
              <w:t>1</w:t>
            </w:r>
            <w:r>
              <w:rPr>
                <w:rFonts w:eastAsia="宋体" w:cs="Times New Roman"/>
                <w:bCs/>
                <w:szCs w:val="21"/>
              </w:rPr>
              <w:t>.</w:t>
            </w:r>
            <w:r>
              <w:rPr>
                <w:rFonts w:hint="eastAsia" w:cs="Times New Roman"/>
                <w:bCs/>
                <w:szCs w:val="21"/>
              </w:rPr>
              <w:t>0</w:t>
            </w:r>
            <w:r>
              <w:rPr>
                <w:rFonts w:eastAsia="宋体" w:cs="Times New Roman"/>
                <w:bCs/>
                <w:szCs w:val="21"/>
              </w:rPr>
              <w:t>-</w:t>
            </w:r>
            <w:r>
              <w:rPr>
                <w:rFonts w:hint="eastAsia" w:cs="Times New Roman"/>
                <w:bCs/>
                <w:szCs w:val="21"/>
              </w:rPr>
              <w:t>2</w:t>
            </w:r>
            <w:r>
              <w:rPr>
                <w:rFonts w:eastAsia="宋体" w:cs="Times New Roman"/>
                <w:bCs/>
                <w:szCs w:val="21"/>
              </w:rPr>
              <w:t>.</w:t>
            </w:r>
            <w:r>
              <w:rPr>
                <w:rFonts w:hint="eastAsia" w:cs="Times New Roman"/>
                <w:bCs/>
                <w:szCs w:val="21"/>
              </w:rPr>
              <w:t>0</w:t>
            </w:r>
            <w:r>
              <w:rPr>
                <w:rFonts w:eastAsia="宋体" w:cs="Times New Roman"/>
                <w:bCs/>
                <w:szCs w:val="21"/>
              </w:rPr>
              <w:t>m/s</w:t>
            </w:r>
          </w:p>
        </w:tc>
        <w:tc>
          <w:tcPr>
            <w:tcW w:w="833" w:type="pct"/>
            <w:tcBorders>
              <w:tl2br w:val="nil"/>
              <w:tr2bl w:val="nil"/>
            </w:tcBorders>
            <w:vAlign w:val="center"/>
          </w:tcPr>
          <w:p>
            <w:pPr>
              <w:pStyle w:val="56"/>
              <w:spacing w:before="5" w:after="5"/>
              <w:rPr>
                <w:bCs/>
              </w:rPr>
            </w:pPr>
            <w:r>
              <w:rPr>
                <w:rFonts w:hint="eastAsia" w:cs="Times New Roman"/>
                <w:bCs/>
                <w:szCs w:val="21"/>
              </w:rPr>
              <w:t>西南</w:t>
            </w:r>
          </w:p>
        </w:tc>
        <w:tc>
          <w:tcPr>
            <w:tcW w:w="833" w:type="pct"/>
            <w:tcBorders>
              <w:tl2br w:val="nil"/>
              <w:tr2bl w:val="nil"/>
            </w:tcBorders>
            <w:vAlign w:val="center"/>
          </w:tcPr>
          <w:p>
            <w:pPr>
              <w:pStyle w:val="56"/>
              <w:spacing w:before="5" w:after="5"/>
              <w:rPr>
                <w:bCs/>
              </w:rPr>
            </w:pPr>
            <w:r>
              <w:rPr>
                <w:rFonts w:hint="eastAsia" w:cs="Times New Roman"/>
                <w:bCs/>
                <w:szCs w:val="21"/>
              </w:rPr>
              <w:t>27-32</w:t>
            </w:r>
            <w:r>
              <w:rPr>
                <w:rFonts w:eastAsia="宋体" w:cs="Times New Roman"/>
                <w:bCs/>
                <w:szCs w:val="21"/>
              </w:rPr>
              <w:t>℃</w:t>
            </w:r>
          </w:p>
        </w:tc>
        <w:tc>
          <w:tcPr>
            <w:tcW w:w="835" w:type="pct"/>
            <w:tcBorders>
              <w:tl2br w:val="nil"/>
              <w:tr2bl w:val="nil"/>
            </w:tcBorders>
            <w:vAlign w:val="center"/>
          </w:tcPr>
          <w:p>
            <w:pPr>
              <w:pStyle w:val="56"/>
              <w:spacing w:before="5" w:after="5"/>
              <w:rPr>
                <w:bCs/>
              </w:rPr>
            </w:pPr>
            <w:r>
              <w:rPr>
                <w:rFonts w:hint="eastAsia" w:cs="Times New Roman"/>
                <w:bCs/>
                <w:szCs w:val="21"/>
              </w:rPr>
              <w:t>99.6-100.0</w:t>
            </w:r>
            <w:r>
              <w:rPr>
                <w:rFonts w:eastAsia="宋体" w:cs="Times New Roman"/>
                <w:bCs/>
                <w:szCs w:val="21"/>
              </w:rPr>
              <w:t>kPa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28" w:type="dxa"/>
          </w:tblCellMar>
        </w:tblPrEx>
        <w:trPr>
          <w:trHeight w:val="340" w:hRule="atLeast"/>
          <w:jc w:val="center"/>
        </w:trPr>
        <w:tc>
          <w:tcPr>
            <w:tcW w:w="833" w:type="pct"/>
            <w:tcBorders>
              <w:tl2br w:val="nil"/>
              <w:tr2bl w:val="nil"/>
            </w:tcBorders>
            <w:vAlign w:val="center"/>
          </w:tcPr>
          <w:p>
            <w:pPr>
              <w:pStyle w:val="56"/>
              <w:spacing w:before="5" w:after="5"/>
              <w:rPr>
                <w:bCs/>
              </w:rPr>
            </w:pPr>
            <w:r>
              <w:rPr>
                <w:rFonts w:hint="eastAsia" w:cs="Times New Roman"/>
                <w:bCs/>
                <w:szCs w:val="21"/>
              </w:rPr>
              <w:t>2021.07.22</w:t>
            </w:r>
          </w:p>
        </w:tc>
        <w:tc>
          <w:tcPr>
            <w:tcW w:w="833" w:type="pct"/>
            <w:tcBorders>
              <w:tl2br w:val="nil"/>
              <w:tr2bl w:val="nil"/>
            </w:tcBorders>
            <w:vAlign w:val="center"/>
          </w:tcPr>
          <w:p>
            <w:pPr>
              <w:pStyle w:val="56"/>
              <w:spacing w:before="5" w:after="5"/>
              <w:rPr>
                <w:bCs/>
              </w:rPr>
            </w:pPr>
            <w:r>
              <w:rPr>
                <w:rFonts w:hint="eastAsia" w:cs="Times New Roman"/>
                <w:bCs/>
                <w:szCs w:val="21"/>
              </w:rPr>
              <w:t>多云</w:t>
            </w:r>
          </w:p>
        </w:tc>
        <w:tc>
          <w:tcPr>
            <w:tcW w:w="833" w:type="pct"/>
            <w:tcBorders>
              <w:tl2br w:val="nil"/>
              <w:tr2bl w:val="nil"/>
            </w:tcBorders>
            <w:vAlign w:val="center"/>
          </w:tcPr>
          <w:p>
            <w:pPr>
              <w:pStyle w:val="56"/>
              <w:spacing w:before="5" w:after="5"/>
              <w:rPr>
                <w:bCs/>
              </w:rPr>
            </w:pPr>
            <w:r>
              <w:rPr>
                <w:rFonts w:hint="eastAsia" w:cs="Times New Roman"/>
                <w:bCs/>
                <w:szCs w:val="21"/>
              </w:rPr>
              <w:t>1.5-2.5</w:t>
            </w:r>
            <w:r>
              <w:rPr>
                <w:rFonts w:eastAsia="宋体" w:cs="Times New Roman"/>
                <w:bCs/>
                <w:szCs w:val="21"/>
              </w:rPr>
              <w:t>m/s</w:t>
            </w:r>
          </w:p>
        </w:tc>
        <w:tc>
          <w:tcPr>
            <w:tcW w:w="833" w:type="pct"/>
            <w:tcBorders>
              <w:tl2br w:val="nil"/>
              <w:tr2bl w:val="nil"/>
            </w:tcBorders>
            <w:vAlign w:val="center"/>
          </w:tcPr>
          <w:p>
            <w:pPr>
              <w:pStyle w:val="56"/>
              <w:spacing w:before="5" w:after="5"/>
              <w:rPr>
                <w:bCs/>
              </w:rPr>
            </w:pPr>
            <w:r>
              <w:rPr>
                <w:rFonts w:hint="eastAsia" w:cs="Times New Roman"/>
                <w:bCs/>
                <w:szCs w:val="21"/>
              </w:rPr>
              <w:t>西南</w:t>
            </w:r>
          </w:p>
        </w:tc>
        <w:tc>
          <w:tcPr>
            <w:tcW w:w="833" w:type="pct"/>
            <w:tcBorders>
              <w:tl2br w:val="nil"/>
              <w:tr2bl w:val="nil"/>
            </w:tcBorders>
            <w:vAlign w:val="center"/>
          </w:tcPr>
          <w:p>
            <w:pPr>
              <w:pStyle w:val="56"/>
              <w:spacing w:before="5" w:after="5"/>
              <w:rPr>
                <w:bCs/>
              </w:rPr>
            </w:pPr>
            <w:r>
              <w:rPr>
                <w:rFonts w:hint="eastAsia" w:cs="Times New Roman"/>
                <w:bCs/>
                <w:szCs w:val="21"/>
              </w:rPr>
              <w:t>26-32</w:t>
            </w:r>
            <w:r>
              <w:rPr>
                <w:rFonts w:eastAsia="宋体" w:cs="Times New Roman"/>
                <w:bCs/>
                <w:szCs w:val="21"/>
              </w:rPr>
              <w:t>℃</w:t>
            </w:r>
          </w:p>
        </w:tc>
        <w:tc>
          <w:tcPr>
            <w:tcW w:w="835" w:type="pct"/>
            <w:tcBorders>
              <w:tl2br w:val="nil"/>
              <w:tr2bl w:val="nil"/>
            </w:tcBorders>
            <w:vAlign w:val="center"/>
          </w:tcPr>
          <w:p>
            <w:pPr>
              <w:pStyle w:val="56"/>
              <w:spacing w:before="5" w:after="5"/>
              <w:rPr>
                <w:bCs/>
              </w:rPr>
            </w:pPr>
            <w:r>
              <w:rPr>
                <w:rFonts w:hint="eastAsia" w:cs="Times New Roman"/>
                <w:bCs/>
                <w:szCs w:val="21"/>
              </w:rPr>
              <w:t>99.5-100.0</w:t>
            </w:r>
            <w:r>
              <w:rPr>
                <w:rFonts w:eastAsia="宋体" w:cs="Times New Roman"/>
                <w:bCs/>
                <w:szCs w:val="21"/>
              </w:rPr>
              <w:t>kPa</w:t>
            </w:r>
          </w:p>
        </w:tc>
      </w:tr>
    </w:tbl>
    <w:p>
      <w:pPr>
        <w:pStyle w:val="3"/>
        <w:ind w:firstLine="170"/>
      </w:pPr>
    </w:p>
    <w:p>
      <w:pPr>
        <w:ind w:firstLine="480"/>
      </w:pPr>
      <w:r>
        <w:t>验收期间，本项目厂界上、下风向及厂内废气无组织排放检测结果如下表。</w:t>
      </w:r>
    </w:p>
    <w:p>
      <w:pPr>
        <w:widowControl/>
        <w:tabs>
          <w:tab w:val="left" w:pos="4000"/>
        </w:tabs>
        <w:spacing w:before="240" w:beforeLines="100" w:line="240" w:lineRule="auto"/>
        <w:ind w:firstLine="0" w:firstLineChars="0"/>
        <w:textAlignment w:val="center"/>
        <w:rPr>
          <w:rFonts w:eastAsia="黑体"/>
          <w:sz w:val="21"/>
          <w:szCs w:val="21"/>
        </w:rPr>
      </w:pPr>
      <w:r>
        <w:rPr>
          <w:rFonts w:eastAsia="黑体"/>
          <w:sz w:val="21"/>
          <w:szCs w:val="21"/>
        </w:rPr>
        <w:t>表9.2-3                             废气检测结果</w:t>
      </w:r>
    </w:p>
    <w:tbl>
      <w:tblPr>
        <w:tblStyle w:val="151"/>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3"/>
        <w:gridCol w:w="1272"/>
        <w:gridCol w:w="1272"/>
        <w:gridCol w:w="1272"/>
        <w:gridCol w:w="1279"/>
        <w:gridCol w:w="1180"/>
        <w:gridCol w:w="117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Align w:val="center"/>
          </w:tcPr>
          <w:p>
            <w:pPr>
              <w:pStyle w:val="56"/>
            </w:pPr>
            <w:r>
              <w:rPr>
                <w:rFonts w:hint="eastAsia"/>
              </w:rPr>
              <w:t>监测日期</w:t>
            </w:r>
          </w:p>
        </w:tc>
        <w:tc>
          <w:tcPr>
            <w:tcW w:w="706" w:type="pct"/>
            <w:vAlign w:val="center"/>
          </w:tcPr>
          <w:p>
            <w:pPr>
              <w:pStyle w:val="56"/>
            </w:pPr>
            <w:r>
              <w:rPr>
                <w:rFonts w:hint="eastAsia"/>
              </w:rPr>
              <w:t>频次</w:t>
            </w:r>
          </w:p>
        </w:tc>
        <w:tc>
          <w:tcPr>
            <w:tcW w:w="706" w:type="pct"/>
            <w:vAlign w:val="center"/>
          </w:tcPr>
          <w:p>
            <w:pPr>
              <w:pStyle w:val="56"/>
            </w:pPr>
            <w:r>
              <w:rPr>
                <w:rFonts w:hint="eastAsia"/>
              </w:rPr>
              <w:t>上风向</w:t>
            </w:r>
            <w:r>
              <w:t>1</w:t>
            </w:r>
          </w:p>
        </w:tc>
        <w:tc>
          <w:tcPr>
            <w:tcW w:w="706" w:type="pct"/>
            <w:vAlign w:val="center"/>
          </w:tcPr>
          <w:p>
            <w:pPr>
              <w:pStyle w:val="56"/>
            </w:pPr>
            <w:r>
              <w:rPr>
                <w:rFonts w:hint="eastAsia"/>
              </w:rPr>
              <w:t>下风向</w:t>
            </w:r>
            <w:r>
              <w:t>2</w:t>
            </w:r>
          </w:p>
        </w:tc>
        <w:tc>
          <w:tcPr>
            <w:tcW w:w="709" w:type="pct"/>
            <w:vAlign w:val="center"/>
          </w:tcPr>
          <w:p>
            <w:pPr>
              <w:pStyle w:val="56"/>
            </w:pPr>
            <w:r>
              <w:rPr>
                <w:rFonts w:hint="eastAsia"/>
              </w:rPr>
              <w:t>下风向</w:t>
            </w:r>
            <w:r>
              <w:t>3</w:t>
            </w:r>
          </w:p>
        </w:tc>
        <w:tc>
          <w:tcPr>
            <w:tcW w:w="655" w:type="pct"/>
            <w:vAlign w:val="center"/>
          </w:tcPr>
          <w:p>
            <w:pPr>
              <w:pStyle w:val="56"/>
            </w:pPr>
            <w:r>
              <w:rPr>
                <w:rFonts w:hint="eastAsia"/>
              </w:rPr>
              <w:t>下风向</w:t>
            </w:r>
            <w:r>
              <w:t>4</w:t>
            </w:r>
          </w:p>
        </w:tc>
        <w:tc>
          <w:tcPr>
            <w:tcW w:w="653" w:type="pct"/>
            <w:vAlign w:val="center"/>
          </w:tcPr>
          <w:p>
            <w:pPr>
              <w:pStyle w:val="56"/>
            </w:pPr>
            <w:r>
              <w:rPr>
                <w:rFonts w:hint="eastAsia"/>
              </w:rPr>
              <w:t>厂区内</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restart"/>
            <w:vAlign w:val="center"/>
          </w:tcPr>
          <w:p>
            <w:pPr>
              <w:pStyle w:val="56"/>
            </w:pPr>
            <w:r>
              <w:rPr>
                <w:rFonts w:hint="eastAsia"/>
              </w:rPr>
              <w:t>2021.0</w:t>
            </w:r>
            <w:r>
              <w:t>7.21</w:t>
            </w:r>
          </w:p>
        </w:tc>
        <w:tc>
          <w:tcPr>
            <w:tcW w:w="706" w:type="pct"/>
            <w:vAlign w:val="center"/>
          </w:tcPr>
          <w:p>
            <w:pPr>
              <w:pStyle w:val="56"/>
            </w:pPr>
            <w:r>
              <w:rPr>
                <w:rFonts w:hint="eastAsia"/>
              </w:rPr>
              <w:t>第一次</w:t>
            </w:r>
          </w:p>
        </w:tc>
        <w:tc>
          <w:tcPr>
            <w:tcW w:w="706" w:type="pct"/>
            <w:vAlign w:val="center"/>
          </w:tcPr>
          <w:p>
            <w:pPr>
              <w:pStyle w:val="56"/>
              <w:rPr>
                <w:rFonts w:hint="default" w:eastAsiaTheme="minorEastAsia"/>
                <w:lang w:val="en-US" w:eastAsia="zh-CN"/>
              </w:rPr>
            </w:pPr>
            <w:r>
              <w:t>0.</w:t>
            </w:r>
            <w:r>
              <w:rPr>
                <w:rFonts w:hint="eastAsia"/>
                <w:lang w:val="en-US" w:eastAsia="zh-CN"/>
              </w:rPr>
              <w:t>16</w:t>
            </w:r>
          </w:p>
        </w:tc>
        <w:tc>
          <w:tcPr>
            <w:tcW w:w="706" w:type="pct"/>
            <w:vAlign w:val="center"/>
          </w:tcPr>
          <w:p>
            <w:pPr>
              <w:pStyle w:val="56"/>
              <w:rPr>
                <w:rFonts w:hint="default" w:eastAsiaTheme="minorEastAsia"/>
                <w:lang w:val="en-US" w:eastAsia="zh-CN"/>
              </w:rPr>
            </w:pPr>
            <w:r>
              <w:t>0.</w:t>
            </w:r>
            <w:r>
              <w:rPr>
                <w:rFonts w:hint="eastAsia"/>
                <w:lang w:val="en-US" w:eastAsia="zh-CN"/>
              </w:rPr>
              <w:t>41</w:t>
            </w:r>
          </w:p>
        </w:tc>
        <w:tc>
          <w:tcPr>
            <w:tcW w:w="709" w:type="pct"/>
            <w:vAlign w:val="center"/>
          </w:tcPr>
          <w:p>
            <w:pPr>
              <w:pStyle w:val="56"/>
              <w:rPr>
                <w:rFonts w:hint="default" w:eastAsiaTheme="minorEastAsia"/>
                <w:lang w:val="en-US" w:eastAsia="zh-CN"/>
              </w:rPr>
            </w:pPr>
            <w:r>
              <w:t>0.</w:t>
            </w:r>
            <w:r>
              <w:rPr>
                <w:rFonts w:hint="eastAsia"/>
                <w:lang w:val="en-US" w:eastAsia="zh-CN"/>
              </w:rPr>
              <w:t>52</w:t>
            </w:r>
          </w:p>
        </w:tc>
        <w:tc>
          <w:tcPr>
            <w:tcW w:w="655" w:type="pct"/>
            <w:vAlign w:val="center"/>
          </w:tcPr>
          <w:p>
            <w:pPr>
              <w:pStyle w:val="56"/>
              <w:rPr>
                <w:rFonts w:hint="default" w:eastAsiaTheme="minorEastAsia"/>
                <w:lang w:val="en-US" w:eastAsia="zh-CN"/>
              </w:rPr>
            </w:pPr>
            <w:r>
              <w:t>0.</w:t>
            </w:r>
            <w:r>
              <w:rPr>
                <w:rFonts w:hint="eastAsia"/>
                <w:lang w:val="en-US" w:eastAsia="zh-CN"/>
              </w:rPr>
              <w:t>38</w:t>
            </w:r>
          </w:p>
        </w:tc>
        <w:tc>
          <w:tcPr>
            <w:tcW w:w="653" w:type="pct"/>
            <w:vAlign w:val="center"/>
          </w:tcPr>
          <w:p>
            <w:pPr>
              <w:pStyle w:val="56"/>
              <w:rPr>
                <w:rFonts w:hint="default" w:eastAsiaTheme="minorEastAsia"/>
                <w:lang w:val="en-US" w:eastAsia="zh-CN"/>
              </w:rPr>
            </w:pPr>
            <w:r>
              <w:rPr>
                <w:rFonts w:hint="eastAsia"/>
                <w:lang w:val="en-US" w:eastAsia="zh-CN"/>
              </w:rPr>
              <w:t>0.57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continue"/>
            <w:noWrap/>
            <w:vAlign w:val="center"/>
          </w:tcPr>
          <w:p>
            <w:pPr>
              <w:pStyle w:val="56"/>
            </w:pPr>
          </w:p>
        </w:tc>
        <w:tc>
          <w:tcPr>
            <w:tcW w:w="706" w:type="pct"/>
            <w:vAlign w:val="center"/>
          </w:tcPr>
          <w:p>
            <w:pPr>
              <w:pStyle w:val="56"/>
            </w:pPr>
            <w:r>
              <w:rPr>
                <w:rFonts w:hint="eastAsia"/>
              </w:rPr>
              <w:t>第二次</w:t>
            </w:r>
          </w:p>
        </w:tc>
        <w:tc>
          <w:tcPr>
            <w:tcW w:w="706" w:type="pct"/>
            <w:vAlign w:val="center"/>
          </w:tcPr>
          <w:p>
            <w:pPr>
              <w:pStyle w:val="56"/>
              <w:rPr>
                <w:rFonts w:hint="default" w:eastAsiaTheme="minorEastAsia"/>
                <w:lang w:val="en-US" w:eastAsia="zh-CN"/>
              </w:rPr>
            </w:pPr>
            <w:r>
              <w:t>0.</w:t>
            </w:r>
            <w:r>
              <w:rPr>
                <w:rFonts w:hint="eastAsia"/>
                <w:lang w:val="en-US" w:eastAsia="zh-CN"/>
              </w:rPr>
              <w:t>18</w:t>
            </w:r>
          </w:p>
        </w:tc>
        <w:tc>
          <w:tcPr>
            <w:tcW w:w="706" w:type="pct"/>
            <w:vAlign w:val="center"/>
          </w:tcPr>
          <w:p>
            <w:pPr>
              <w:pStyle w:val="56"/>
              <w:rPr>
                <w:rFonts w:hint="default" w:eastAsiaTheme="minorEastAsia"/>
                <w:lang w:val="en-US" w:eastAsia="zh-CN"/>
              </w:rPr>
            </w:pPr>
            <w:r>
              <w:t>0.</w:t>
            </w:r>
            <w:r>
              <w:rPr>
                <w:rFonts w:hint="eastAsia"/>
                <w:lang w:val="en-US" w:eastAsia="zh-CN"/>
              </w:rPr>
              <w:t>38</w:t>
            </w:r>
          </w:p>
        </w:tc>
        <w:tc>
          <w:tcPr>
            <w:tcW w:w="709" w:type="pct"/>
            <w:vAlign w:val="center"/>
          </w:tcPr>
          <w:p>
            <w:pPr>
              <w:pStyle w:val="56"/>
              <w:rPr>
                <w:rFonts w:hint="default" w:eastAsiaTheme="minorEastAsia"/>
                <w:lang w:val="en-US" w:eastAsia="zh-CN"/>
              </w:rPr>
            </w:pPr>
            <w:r>
              <w:t>0.</w:t>
            </w:r>
            <w:r>
              <w:rPr>
                <w:rFonts w:hint="eastAsia"/>
                <w:lang w:val="en-US" w:eastAsia="zh-CN"/>
              </w:rPr>
              <w:t>47</w:t>
            </w:r>
          </w:p>
        </w:tc>
        <w:tc>
          <w:tcPr>
            <w:tcW w:w="655" w:type="pct"/>
            <w:vAlign w:val="center"/>
          </w:tcPr>
          <w:p>
            <w:pPr>
              <w:pStyle w:val="56"/>
              <w:rPr>
                <w:rFonts w:hint="default" w:eastAsiaTheme="minorEastAsia"/>
                <w:lang w:val="en-US" w:eastAsia="zh-CN"/>
              </w:rPr>
            </w:pPr>
            <w:r>
              <w:t>0.</w:t>
            </w:r>
            <w:r>
              <w:rPr>
                <w:rFonts w:hint="eastAsia"/>
                <w:lang w:val="en-US" w:eastAsia="zh-CN"/>
              </w:rPr>
              <w:t>36</w:t>
            </w:r>
          </w:p>
        </w:tc>
        <w:tc>
          <w:tcPr>
            <w:tcW w:w="653" w:type="pct"/>
            <w:vAlign w:val="center"/>
          </w:tcPr>
          <w:p>
            <w:pPr>
              <w:pStyle w:val="56"/>
              <w:rPr>
                <w:rFonts w:hint="default" w:eastAsiaTheme="minorEastAsia"/>
                <w:lang w:val="en-US" w:eastAsia="zh-CN"/>
              </w:rPr>
            </w:pPr>
            <w:r>
              <w:rPr>
                <w:rFonts w:hint="eastAsia"/>
                <w:lang w:val="en-US" w:eastAsia="zh-CN"/>
              </w:rPr>
              <w:t>0.51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continue"/>
            <w:noWrap/>
            <w:vAlign w:val="center"/>
          </w:tcPr>
          <w:p>
            <w:pPr>
              <w:pStyle w:val="56"/>
            </w:pPr>
          </w:p>
        </w:tc>
        <w:tc>
          <w:tcPr>
            <w:tcW w:w="706" w:type="pct"/>
            <w:vAlign w:val="center"/>
          </w:tcPr>
          <w:p>
            <w:pPr>
              <w:pStyle w:val="56"/>
            </w:pPr>
            <w:r>
              <w:rPr>
                <w:rFonts w:hint="eastAsia"/>
              </w:rPr>
              <w:t>第三次</w:t>
            </w:r>
          </w:p>
        </w:tc>
        <w:tc>
          <w:tcPr>
            <w:tcW w:w="706" w:type="pct"/>
            <w:vAlign w:val="center"/>
          </w:tcPr>
          <w:p>
            <w:pPr>
              <w:pStyle w:val="56"/>
              <w:rPr>
                <w:rFonts w:hint="default" w:eastAsiaTheme="minorEastAsia"/>
                <w:lang w:val="en-US" w:eastAsia="zh-CN"/>
              </w:rPr>
            </w:pPr>
            <w:r>
              <w:t>0.</w:t>
            </w:r>
            <w:r>
              <w:rPr>
                <w:rFonts w:hint="eastAsia"/>
                <w:lang w:val="en-US" w:eastAsia="zh-CN"/>
              </w:rPr>
              <w:t>21</w:t>
            </w:r>
          </w:p>
        </w:tc>
        <w:tc>
          <w:tcPr>
            <w:tcW w:w="706" w:type="pct"/>
            <w:vAlign w:val="center"/>
          </w:tcPr>
          <w:p>
            <w:pPr>
              <w:pStyle w:val="56"/>
              <w:rPr>
                <w:rFonts w:hint="default" w:eastAsiaTheme="minorEastAsia"/>
                <w:lang w:val="en-US" w:eastAsia="zh-CN"/>
              </w:rPr>
            </w:pPr>
            <w:r>
              <w:t>0.</w:t>
            </w:r>
            <w:r>
              <w:rPr>
                <w:rFonts w:hint="eastAsia"/>
                <w:lang w:val="en-US" w:eastAsia="zh-CN"/>
              </w:rPr>
              <w:t>41</w:t>
            </w:r>
          </w:p>
        </w:tc>
        <w:tc>
          <w:tcPr>
            <w:tcW w:w="709" w:type="pct"/>
            <w:vAlign w:val="center"/>
          </w:tcPr>
          <w:p>
            <w:pPr>
              <w:pStyle w:val="56"/>
              <w:rPr>
                <w:rFonts w:hint="default" w:eastAsiaTheme="minorEastAsia"/>
                <w:lang w:val="en-US" w:eastAsia="zh-CN"/>
              </w:rPr>
            </w:pPr>
            <w:r>
              <w:t>0.</w:t>
            </w:r>
            <w:r>
              <w:rPr>
                <w:rFonts w:hint="eastAsia"/>
                <w:lang w:val="en-US" w:eastAsia="zh-CN"/>
              </w:rPr>
              <w:t>50</w:t>
            </w:r>
          </w:p>
        </w:tc>
        <w:tc>
          <w:tcPr>
            <w:tcW w:w="655" w:type="pct"/>
            <w:vAlign w:val="center"/>
          </w:tcPr>
          <w:p>
            <w:pPr>
              <w:pStyle w:val="56"/>
              <w:rPr>
                <w:rFonts w:hint="default" w:eastAsiaTheme="minorEastAsia"/>
                <w:lang w:val="en-US" w:eastAsia="zh-CN"/>
              </w:rPr>
            </w:pPr>
            <w:r>
              <w:t>0.</w:t>
            </w:r>
            <w:r>
              <w:rPr>
                <w:rFonts w:hint="eastAsia"/>
                <w:lang w:val="en-US" w:eastAsia="zh-CN"/>
              </w:rPr>
              <w:t>37</w:t>
            </w:r>
          </w:p>
        </w:tc>
        <w:tc>
          <w:tcPr>
            <w:tcW w:w="653" w:type="pct"/>
            <w:vAlign w:val="center"/>
          </w:tcPr>
          <w:p>
            <w:pPr>
              <w:pStyle w:val="56"/>
              <w:rPr>
                <w:rFonts w:hint="default" w:eastAsiaTheme="minorEastAsia"/>
                <w:lang w:val="en-US" w:eastAsia="zh-CN"/>
              </w:rPr>
            </w:pPr>
            <w:r>
              <w:rPr>
                <w:rFonts w:hint="eastAsia"/>
                <w:lang w:val="en-US" w:eastAsia="zh-CN"/>
              </w:rPr>
              <w:t>0.54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91" w:type="pct"/>
            <w:gridSpan w:val="5"/>
            <w:vAlign w:val="center"/>
          </w:tcPr>
          <w:p>
            <w:pPr>
              <w:pStyle w:val="56"/>
            </w:pPr>
            <w:r>
              <w:rPr>
                <w:rFonts w:hint="eastAsia"/>
              </w:rPr>
              <w:t>下风向测点浓度最大值</w:t>
            </w:r>
          </w:p>
        </w:tc>
        <w:tc>
          <w:tcPr>
            <w:tcW w:w="655" w:type="pct"/>
            <w:vAlign w:val="center"/>
          </w:tcPr>
          <w:p>
            <w:pPr>
              <w:pStyle w:val="56"/>
              <w:rPr>
                <w:rFonts w:hint="default" w:eastAsiaTheme="minorEastAsia"/>
                <w:lang w:val="en-US" w:eastAsia="zh-CN"/>
              </w:rPr>
            </w:pPr>
            <w:r>
              <w:t>0.</w:t>
            </w:r>
            <w:r>
              <w:rPr>
                <w:rFonts w:hint="eastAsia"/>
                <w:lang w:val="en-US" w:eastAsia="zh-CN"/>
              </w:rPr>
              <w:t>52</w:t>
            </w:r>
          </w:p>
        </w:tc>
        <w:tc>
          <w:tcPr>
            <w:tcW w:w="653" w:type="pct"/>
            <w:vAlign w:val="center"/>
          </w:tcPr>
          <w:p>
            <w:pPr>
              <w:pStyle w:val="56"/>
              <w:rPr>
                <w:rFonts w:hint="default" w:eastAsiaTheme="minorEastAsia"/>
                <w:lang w:val="en-US" w:eastAsia="zh-CN"/>
              </w:rPr>
            </w:pPr>
            <w:r>
              <w:rPr>
                <w:rFonts w:hint="eastAsia"/>
                <w:lang w:val="en-US" w:eastAsia="zh-CN"/>
              </w:rPr>
              <w:t>0.57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restart"/>
            <w:vAlign w:val="center"/>
          </w:tcPr>
          <w:p>
            <w:pPr>
              <w:pStyle w:val="56"/>
            </w:pPr>
            <w:r>
              <w:rPr>
                <w:rFonts w:hint="eastAsia"/>
              </w:rPr>
              <w:t>2021.0</w:t>
            </w:r>
            <w:r>
              <w:t>7.22</w:t>
            </w:r>
          </w:p>
        </w:tc>
        <w:tc>
          <w:tcPr>
            <w:tcW w:w="706" w:type="pct"/>
            <w:vAlign w:val="center"/>
          </w:tcPr>
          <w:p>
            <w:pPr>
              <w:pStyle w:val="56"/>
            </w:pPr>
            <w:r>
              <w:rPr>
                <w:rFonts w:hint="eastAsia"/>
              </w:rPr>
              <w:t>第一次</w:t>
            </w:r>
          </w:p>
        </w:tc>
        <w:tc>
          <w:tcPr>
            <w:tcW w:w="706" w:type="pct"/>
            <w:vAlign w:val="center"/>
          </w:tcPr>
          <w:p>
            <w:pPr>
              <w:pStyle w:val="56"/>
              <w:rPr>
                <w:rFonts w:hint="default" w:eastAsiaTheme="minorEastAsia"/>
                <w:lang w:val="en-US" w:eastAsia="zh-CN"/>
              </w:rPr>
            </w:pPr>
            <w:r>
              <w:t>0.</w:t>
            </w:r>
            <w:r>
              <w:rPr>
                <w:rFonts w:hint="eastAsia"/>
                <w:lang w:val="en-US" w:eastAsia="zh-CN"/>
              </w:rPr>
              <w:t>14</w:t>
            </w:r>
          </w:p>
        </w:tc>
        <w:tc>
          <w:tcPr>
            <w:tcW w:w="706" w:type="pct"/>
            <w:vAlign w:val="center"/>
          </w:tcPr>
          <w:p>
            <w:pPr>
              <w:pStyle w:val="56"/>
              <w:rPr>
                <w:rFonts w:hint="default" w:eastAsiaTheme="minorEastAsia"/>
                <w:lang w:val="en-US" w:eastAsia="zh-CN"/>
              </w:rPr>
            </w:pPr>
            <w:r>
              <w:t>0.</w:t>
            </w:r>
            <w:r>
              <w:rPr>
                <w:rFonts w:hint="eastAsia"/>
                <w:lang w:val="en-US" w:eastAsia="zh-CN"/>
              </w:rPr>
              <w:t>33</w:t>
            </w:r>
          </w:p>
        </w:tc>
        <w:tc>
          <w:tcPr>
            <w:tcW w:w="709" w:type="pct"/>
            <w:vAlign w:val="center"/>
          </w:tcPr>
          <w:p>
            <w:pPr>
              <w:pStyle w:val="56"/>
              <w:rPr>
                <w:rFonts w:hint="default" w:eastAsiaTheme="minorEastAsia"/>
                <w:lang w:val="en-US" w:eastAsia="zh-CN"/>
              </w:rPr>
            </w:pPr>
            <w:r>
              <w:t>0.</w:t>
            </w:r>
            <w:r>
              <w:rPr>
                <w:rFonts w:hint="eastAsia"/>
                <w:lang w:val="en-US" w:eastAsia="zh-CN"/>
              </w:rPr>
              <w:t>41</w:t>
            </w:r>
          </w:p>
        </w:tc>
        <w:tc>
          <w:tcPr>
            <w:tcW w:w="655" w:type="pct"/>
            <w:vAlign w:val="center"/>
          </w:tcPr>
          <w:p>
            <w:pPr>
              <w:pStyle w:val="56"/>
              <w:rPr>
                <w:rFonts w:hint="default" w:eastAsiaTheme="minorEastAsia"/>
                <w:lang w:val="en-US" w:eastAsia="zh-CN"/>
              </w:rPr>
            </w:pPr>
            <w:r>
              <w:t>0.</w:t>
            </w:r>
            <w:r>
              <w:rPr>
                <w:rFonts w:hint="eastAsia"/>
                <w:lang w:val="en-US" w:eastAsia="zh-CN"/>
              </w:rPr>
              <w:t>30</w:t>
            </w:r>
          </w:p>
        </w:tc>
        <w:tc>
          <w:tcPr>
            <w:tcW w:w="653" w:type="pct"/>
            <w:vAlign w:val="center"/>
          </w:tcPr>
          <w:p>
            <w:pPr>
              <w:pStyle w:val="56"/>
              <w:rPr>
                <w:rFonts w:hint="default" w:eastAsiaTheme="minorEastAsia"/>
                <w:lang w:val="en-US" w:eastAsia="zh-CN"/>
              </w:rPr>
            </w:pPr>
            <w:r>
              <w:rPr>
                <w:rFonts w:hint="eastAsia"/>
                <w:lang w:val="en-US" w:eastAsia="zh-CN"/>
              </w:rPr>
              <w:t>0.55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continue"/>
            <w:noWrap/>
            <w:vAlign w:val="center"/>
          </w:tcPr>
          <w:p>
            <w:pPr>
              <w:pStyle w:val="56"/>
            </w:pPr>
          </w:p>
        </w:tc>
        <w:tc>
          <w:tcPr>
            <w:tcW w:w="706" w:type="pct"/>
            <w:vAlign w:val="center"/>
          </w:tcPr>
          <w:p>
            <w:pPr>
              <w:pStyle w:val="56"/>
            </w:pPr>
            <w:r>
              <w:rPr>
                <w:rFonts w:hint="eastAsia"/>
              </w:rPr>
              <w:t>第二次</w:t>
            </w:r>
          </w:p>
        </w:tc>
        <w:tc>
          <w:tcPr>
            <w:tcW w:w="706" w:type="pct"/>
            <w:vAlign w:val="center"/>
          </w:tcPr>
          <w:p>
            <w:pPr>
              <w:pStyle w:val="56"/>
              <w:rPr>
                <w:rFonts w:hint="default" w:eastAsiaTheme="minorEastAsia"/>
                <w:lang w:val="en-US" w:eastAsia="zh-CN"/>
              </w:rPr>
            </w:pPr>
            <w:r>
              <w:t>0.</w:t>
            </w:r>
            <w:r>
              <w:rPr>
                <w:rFonts w:hint="eastAsia"/>
                <w:lang w:val="en-US" w:eastAsia="zh-CN"/>
              </w:rPr>
              <w:t>17</w:t>
            </w:r>
          </w:p>
        </w:tc>
        <w:tc>
          <w:tcPr>
            <w:tcW w:w="706" w:type="pct"/>
            <w:vAlign w:val="center"/>
          </w:tcPr>
          <w:p>
            <w:pPr>
              <w:pStyle w:val="56"/>
              <w:rPr>
                <w:rFonts w:hint="default" w:eastAsiaTheme="minorEastAsia"/>
                <w:lang w:val="en-US" w:eastAsia="zh-CN"/>
              </w:rPr>
            </w:pPr>
            <w:r>
              <w:t>0.</w:t>
            </w:r>
            <w:r>
              <w:rPr>
                <w:rFonts w:hint="eastAsia"/>
                <w:lang w:val="en-US" w:eastAsia="zh-CN"/>
              </w:rPr>
              <w:t>38</w:t>
            </w:r>
          </w:p>
        </w:tc>
        <w:tc>
          <w:tcPr>
            <w:tcW w:w="709" w:type="pct"/>
            <w:vAlign w:val="center"/>
          </w:tcPr>
          <w:p>
            <w:pPr>
              <w:pStyle w:val="56"/>
              <w:rPr>
                <w:rFonts w:hint="default" w:eastAsiaTheme="minorEastAsia"/>
                <w:lang w:val="en-US" w:eastAsia="zh-CN"/>
              </w:rPr>
            </w:pPr>
            <w:r>
              <w:t>0.</w:t>
            </w:r>
            <w:r>
              <w:rPr>
                <w:rFonts w:hint="eastAsia"/>
                <w:lang w:val="en-US" w:eastAsia="zh-CN"/>
              </w:rPr>
              <w:t>45</w:t>
            </w:r>
          </w:p>
        </w:tc>
        <w:tc>
          <w:tcPr>
            <w:tcW w:w="655" w:type="pct"/>
            <w:vAlign w:val="center"/>
          </w:tcPr>
          <w:p>
            <w:pPr>
              <w:pStyle w:val="56"/>
              <w:rPr>
                <w:rFonts w:hint="default" w:eastAsiaTheme="minorEastAsia"/>
                <w:lang w:val="en-US" w:eastAsia="zh-CN"/>
              </w:rPr>
            </w:pPr>
            <w:r>
              <w:t>0.</w:t>
            </w:r>
            <w:r>
              <w:rPr>
                <w:rFonts w:hint="eastAsia"/>
                <w:lang w:val="en-US" w:eastAsia="zh-CN"/>
              </w:rPr>
              <w:t>33</w:t>
            </w:r>
          </w:p>
        </w:tc>
        <w:tc>
          <w:tcPr>
            <w:tcW w:w="653" w:type="pct"/>
            <w:vAlign w:val="center"/>
          </w:tcPr>
          <w:p>
            <w:pPr>
              <w:pStyle w:val="56"/>
              <w:rPr>
                <w:rFonts w:hint="default" w:eastAsiaTheme="minorEastAsia"/>
                <w:lang w:val="en-US" w:eastAsia="zh-CN"/>
              </w:rPr>
            </w:pPr>
            <w:r>
              <w:rPr>
                <w:rFonts w:hint="eastAsia"/>
                <w:lang w:val="en-US" w:eastAsia="zh-CN"/>
              </w:rPr>
              <w:t>0.60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3" w:type="pct"/>
            <w:vMerge w:val="continue"/>
            <w:noWrap/>
            <w:vAlign w:val="center"/>
          </w:tcPr>
          <w:p>
            <w:pPr>
              <w:pStyle w:val="56"/>
            </w:pPr>
          </w:p>
        </w:tc>
        <w:tc>
          <w:tcPr>
            <w:tcW w:w="706" w:type="pct"/>
            <w:vAlign w:val="center"/>
          </w:tcPr>
          <w:p>
            <w:pPr>
              <w:pStyle w:val="56"/>
            </w:pPr>
            <w:r>
              <w:rPr>
                <w:rFonts w:hint="eastAsia"/>
              </w:rPr>
              <w:t>第三次</w:t>
            </w:r>
          </w:p>
        </w:tc>
        <w:tc>
          <w:tcPr>
            <w:tcW w:w="706" w:type="pct"/>
            <w:vAlign w:val="center"/>
          </w:tcPr>
          <w:p>
            <w:pPr>
              <w:pStyle w:val="56"/>
              <w:rPr>
                <w:rFonts w:hint="default" w:eastAsiaTheme="minorEastAsia"/>
                <w:lang w:val="en-US" w:eastAsia="zh-CN"/>
              </w:rPr>
            </w:pPr>
            <w:r>
              <w:t>0.</w:t>
            </w:r>
            <w:r>
              <w:rPr>
                <w:rFonts w:hint="eastAsia"/>
                <w:lang w:val="en-US" w:eastAsia="zh-CN"/>
              </w:rPr>
              <w:t>20</w:t>
            </w:r>
          </w:p>
        </w:tc>
        <w:tc>
          <w:tcPr>
            <w:tcW w:w="706" w:type="pct"/>
            <w:vAlign w:val="center"/>
          </w:tcPr>
          <w:p>
            <w:pPr>
              <w:pStyle w:val="56"/>
            </w:pPr>
            <w:r>
              <w:t>0.</w:t>
            </w:r>
            <w:r>
              <w:rPr>
                <w:rFonts w:hint="eastAsia"/>
                <w:lang w:val="en-US" w:eastAsia="zh-CN"/>
              </w:rPr>
              <w:t>4</w:t>
            </w:r>
            <w:r>
              <w:t>2</w:t>
            </w:r>
          </w:p>
        </w:tc>
        <w:tc>
          <w:tcPr>
            <w:tcW w:w="709" w:type="pct"/>
            <w:vAlign w:val="center"/>
          </w:tcPr>
          <w:p>
            <w:pPr>
              <w:pStyle w:val="56"/>
              <w:rPr>
                <w:rFonts w:hint="default" w:eastAsiaTheme="minorEastAsia"/>
                <w:lang w:val="en-US" w:eastAsia="zh-CN"/>
              </w:rPr>
            </w:pPr>
            <w:r>
              <w:t>0.</w:t>
            </w:r>
            <w:r>
              <w:rPr>
                <w:rFonts w:hint="eastAsia"/>
                <w:lang w:val="en-US" w:eastAsia="zh-CN"/>
              </w:rPr>
              <w:t>49</w:t>
            </w:r>
          </w:p>
        </w:tc>
        <w:tc>
          <w:tcPr>
            <w:tcW w:w="655" w:type="pct"/>
            <w:vAlign w:val="center"/>
          </w:tcPr>
          <w:p>
            <w:pPr>
              <w:pStyle w:val="56"/>
              <w:rPr>
                <w:rFonts w:hint="default" w:eastAsiaTheme="minorEastAsia"/>
                <w:lang w:val="en-US" w:eastAsia="zh-CN"/>
              </w:rPr>
            </w:pPr>
            <w:r>
              <w:t>0.</w:t>
            </w:r>
            <w:r>
              <w:rPr>
                <w:rFonts w:hint="eastAsia"/>
                <w:lang w:val="en-US" w:eastAsia="zh-CN"/>
              </w:rPr>
              <w:t>38</w:t>
            </w:r>
          </w:p>
        </w:tc>
        <w:tc>
          <w:tcPr>
            <w:tcW w:w="653" w:type="pct"/>
            <w:vAlign w:val="center"/>
          </w:tcPr>
          <w:p>
            <w:pPr>
              <w:pStyle w:val="56"/>
              <w:rPr>
                <w:rFonts w:hint="default" w:eastAsiaTheme="minorEastAsia"/>
                <w:lang w:val="en-US" w:eastAsia="zh-CN"/>
              </w:rPr>
            </w:pPr>
            <w:r>
              <w:rPr>
                <w:rFonts w:hint="eastAsia"/>
                <w:lang w:val="en-US" w:eastAsia="zh-CN"/>
              </w:rPr>
              <w:t>0.58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691" w:type="pct"/>
            <w:gridSpan w:val="5"/>
            <w:vAlign w:val="center"/>
          </w:tcPr>
          <w:p>
            <w:pPr>
              <w:pStyle w:val="56"/>
            </w:pPr>
            <w:r>
              <w:rPr>
                <w:rFonts w:hint="eastAsia"/>
              </w:rPr>
              <w:t>下风向测点浓度最大值</w:t>
            </w:r>
          </w:p>
        </w:tc>
        <w:tc>
          <w:tcPr>
            <w:tcW w:w="655" w:type="pct"/>
            <w:vAlign w:val="center"/>
          </w:tcPr>
          <w:p>
            <w:pPr>
              <w:pStyle w:val="56"/>
              <w:rPr>
                <w:rFonts w:hint="default" w:eastAsiaTheme="minorEastAsia"/>
                <w:lang w:val="en-US" w:eastAsia="zh-CN"/>
              </w:rPr>
            </w:pPr>
            <w:r>
              <w:t>0.</w:t>
            </w:r>
            <w:r>
              <w:rPr>
                <w:rFonts w:hint="eastAsia"/>
                <w:lang w:val="en-US" w:eastAsia="zh-CN"/>
              </w:rPr>
              <w:t>49</w:t>
            </w:r>
          </w:p>
        </w:tc>
        <w:tc>
          <w:tcPr>
            <w:tcW w:w="653" w:type="pct"/>
            <w:vAlign w:val="center"/>
          </w:tcPr>
          <w:p>
            <w:pPr>
              <w:pStyle w:val="56"/>
              <w:rPr>
                <w:rFonts w:hint="default" w:eastAsiaTheme="minorEastAsia"/>
                <w:lang w:val="en-US" w:eastAsia="zh-CN"/>
              </w:rPr>
            </w:pPr>
            <w:r>
              <w:rPr>
                <w:rFonts w:hint="eastAsia"/>
                <w:lang w:val="en-US" w:eastAsia="zh-CN"/>
              </w:rPr>
              <w:t>0.60</w:t>
            </w:r>
          </w:p>
        </w:tc>
      </w:tr>
    </w:tbl>
    <w:p>
      <w:pPr>
        <w:pStyle w:val="33"/>
        <w:ind w:firstLine="360"/>
      </w:pPr>
    </w:p>
    <w:p>
      <w:pPr>
        <w:widowControl/>
        <w:adjustRightInd w:val="0"/>
        <w:snapToGrid w:val="0"/>
        <w:ind w:firstLine="480"/>
        <w:rPr>
          <w:kern w:val="0"/>
        </w:rPr>
      </w:pPr>
      <w:r>
        <w:t>由上表9.2-3知，验收期间厂界上、下风向监测点的</w:t>
      </w:r>
      <w:r>
        <w:rPr>
          <w:rFonts w:hint="eastAsia"/>
        </w:rPr>
        <w:t>非甲烷总烃</w:t>
      </w:r>
      <w:r>
        <w:t>的最大浓度</w:t>
      </w:r>
      <w:r>
        <w:rPr>
          <w:rFonts w:hint="eastAsia"/>
        </w:rPr>
        <w:t>值</w:t>
      </w:r>
      <w:r>
        <w:t>为0.</w:t>
      </w:r>
      <w:r>
        <w:rPr>
          <w:rFonts w:hint="eastAsia"/>
          <w:lang w:val="en-US" w:eastAsia="zh-CN"/>
        </w:rPr>
        <w:t>60</w:t>
      </w:r>
      <w:r>
        <w:t>mg/m</w:t>
      </w:r>
      <w:r>
        <w:rPr>
          <w:vertAlign w:val="superscript"/>
        </w:rPr>
        <w:t>3</w:t>
      </w:r>
      <w:r>
        <w:t>，满足</w:t>
      </w:r>
      <w:r>
        <w:rPr>
          <w:rFonts w:hint="eastAsia"/>
          <w:kern w:val="0"/>
        </w:rPr>
        <w:t>《印刷业挥发性有机物排放标准》（DB21</w:t>
      </w:r>
      <w:r>
        <w:rPr>
          <w:kern w:val="0"/>
        </w:rPr>
        <w:t>/</w:t>
      </w:r>
      <w:r>
        <w:rPr>
          <w:rFonts w:hint="eastAsia"/>
          <w:kern w:val="0"/>
        </w:rPr>
        <w:t>3161-2019）中2.0mg/m</w:t>
      </w:r>
      <w:r>
        <w:rPr>
          <w:rFonts w:hint="eastAsia"/>
          <w:kern w:val="0"/>
          <w:vertAlign w:val="superscript"/>
        </w:rPr>
        <w:t>3</w:t>
      </w:r>
      <w:r>
        <w:rPr>
          <w:kern w:val="0"/>
        </w:rPr>
        <w:t>排放标准</w:t>
      </w:r>
      <w:r>
        <w:t>。</w:t>
      </w:r>
      <w:r>
        <w:rPr>
          <w:rFonts w:hint="eastAsia"/>
        </w:rPr>
        <w:t>厂区内</w:t>
      </w:r>
      <w:r>
        <w:t>最大浓度</w:t>
      </w:r>
      <w:r>
        <w:rPr>
          <w:rFonts w:hint="eastAsia"/>
        </w:rPr>
        <w:t>值</w:t>
      </w:r>
      <w:r>
        <w:t>为1.82mg/m</w:t>
      </w:r>
      <w:r>
        <w:rPr>
          <w:vertAlign w:val="superscript"/>
        </w:rPr>
        <w:t>3</w:t>
      </w:r>
      <w:r>
        <w:t>，满足</w:t>
      </w:r>
      <w:r>
        <w:rPr>
          <w:rFonts w:hint="eastAsia"/>
          <w:kern w:val="0"/>
        </w:rPr>
        <w:t>《挥发性有机物无组织排放标准》（GB37822-2019）特别限值要求。</w:t>
      </w:r>
    </w:p>
    <w:p>
      <w:pPr>
        <w:pStyle w:val="9"/>
        <w:keepNext w:val="0"/>
        <w:keepLines w:val="0"/>
        <w:spacing w:before="240" w:beforeLines="100"/>
      </w:pPr>
      <w:bookmarkStart w:id="357" w:name="_Toc19594"/>
      <w:bookmarkStart w:id="358" w:name="_Toc21393"/>
      <w:bookmarkStart w:id="359" w:name="_Toc15386"/>
      <w:bookmarkStart w:id="360" w:name="_Toc11362"/>
      <w:bookmarkStart w:id="361" w:name="_Toc13032"/>
      <w:r>
        <w:t>9.2.3  厂界噪声</w:t>
      </w:r>
      <w:bookmarkEnd w:id="356"/>
      <w:bookmarkEnd w:id="357"/>
      <w:bookmarkEnd w:id="358"/>
      <w:bookmarkEnd w:id="359"/>
      <w:bookmarkEnd w:id="360"/>
      <w:bookmarkEnd w:id="361"/>
    </w:p>
    <w:p>
      <w:pPr>
        <w:ind w:firstLine="480"/>
      </w:pPr>
      <w:r>
        <w:t>验收期间四周厂界噪声排放情况如下表9.2-4。</w:t>
      </w:r>
    </w:p>
    <w:p>
      <w:pPr>
        <w:widowControl/>
        <w:tabs>
          <w:tab w:val="left" w:pos="4000"/>
        </w:tabs>
        <w:spacing w:before="240" w:beforeLines="100" w:line="240" w:lineRule="auto"/>
        <w:ind w:firstLine="0" w:firstLineChars="0"/>
        <w:textAlignment w:val="center"/>
        <w:rPr>
          <w:rFonts w:eastAsia="黑体"/>
          <w:sz w:val="21"/>
          <w:szCs w:val="21"/>
        </w:rPr>
      </w:pPr>
      <w:r>
        <w:rPr>
          <w:rFonts w:eastAsia="黑体"/>
          <w:sz w:val="21"/>
          <w:szCs w:val="21"/>
        </w:rPr>
        <w:t>表9.2-4                             噪声检测结果</w:t>
      </w:r>
      <w:r>
        <w:rPr>
          <w:rFonts w:hint="eastAsia" w:eastAsia="黑体"/>
          <w:sz w:val="21"/>
          <w:szCs w:val="21"/>
        </w:rPr>
        <w:t xml:space="preserve"> </w:t>
      </w:r>
      <w:r>
        <w:rPr>
          <w:rFonts w:eastAsia="黑体"/>
          <w:sz w:val="21"/>
          <w:szCs w:val="21"/>
        </w:rPr>
        <w:t xml:space="preserve">                      </w:t>
      </w:r>
      <w:r>
        <w:rPr>
          <w:rFonts w:hint="eastAsia" w:eastAsia="黑体"/>
          <w:sz w:val="21"/>
          <w:szCs w:val="21"/>
        </w:rPr>
        <w:t>单位：dB（A）</w:t>
      </w:r>
    </w:p>
    <w:tbl>
      <w:tblPr>
        <w:tblStyle w:val="46"/>
        <w:tblW w:w="5000"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263"/>
        <w:gridCol w:w="1259"/>
        <w:gridCol w:w="1257"/>
        <w:gridCol w:w="1257"/>
        <w:gridCol w:w="1263"/>
        <w:gridCol w:w="1263"/>
        <w:gridCol w:w="1256"/>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tcBorders>
              <w:tl2br w:val="nil"/>
              <w:tr2bl w:val="nil"/>
            </w:tcBorders>
            <w:vAlign w:val="center"/>
          </w:tcPr>
          <w:p>
            <w:pPr>
              <w:pStyle w:val="56"/>
            </w:pPr>
            <w:r>
              <w:rPr>
                <w:lang w:bidi="ar"/>
              </w:rPr>
              <w:t>检测项目</w:t>
            </w:r>
          </w:p>
        </w:tc>
        <w:tc>
          <w:tcPr>
            <w:tcW w:w="714" w:type="pct"/>
            <w:tcBorders>
              <w:tl2br w:val="nil"/>
              <w:tr2bl w:val="nil"/>
            </w:tcBorders>
            <w:vAlign w:val="center"/>
          </w:tcPr>
          <w:p>
            <w:pPr>
              <w:pStyle w:val="56"/>
            </w:pPr>
            <w:r>
              <w:rPr>
                <w:rFonts w:hint="eastAsia"/>
              </w:rPr>
              <w:t>检测</w:t>
            </w:r>
            <w:r>
              <w:t>日期</w:t>
            </w:r>
          </w:p>
        </w:tc>
        <w:tc>
          <w:tcPr>
            <w:tcW w:w="713" w:type="pct"/>
            <w:tcBorders>
              <w:tl2br w:val="nil"/>
              <w:tr2bl w:val="nil"/>
            </w:tcBorders>
            <w:vAlign w:val="center"/>
          </w:tcPr>
          <w:p>
            <w:pPr>
              <w:pStyle w:val="56"/>
            </w:pPr>
            <w:r>
              <w:t>昼夜</w:t>
            </w:r>
          </w:p>
        </w:tc>
        <w:tc>
          <w:tcPr>
            <w:tcW w:w="713" w:type="pct"/>
            <w:tcBorders>
              <w:tl2br w:val="nil"/>
              <w:tr2bl w:val="nil"/>
            </w:tcBorders>
            <w:vAlign w:val="center"/>
          </w:tcPr>
          <w:p>
            <w:pPr>
              <w:pStyle w:val="56"/>
            </w:pPr>
            <w:r>
              <w:t>检测点位</w:t>
            </w:r>
          </w:p>
        </w:tc>
        <w:tc>
          <w:tcPr>
            <w:tcW w:w="716" w:type="pct"/>
            <w:tcBorders>
              <w:tl2br w:val="nil"/>
              <w:tr2bl w:val="nil"/>
            </w:tcBorders>
            <w:vAlign w:val="center"/>
          </w:tcPr>
          <w:p>
            <w:pPr>
              <w:pStyle w:val="56"/>
              <w:rPr>
                <w:lang w:bidi="ar"/>
              </w:rPr>
            </w:pPr>
            <w:r>
              <w:rPr>
                <w:lang w:bidi="ar"/>
              </w:rPr>
              <w:t>检测结果</w:t>
            </w:r>
          </w:p>
        </w:tc>
        <w:tc>
          <w:tcPr>
            <w:tcW w:w="716" w:type="pct"/>
            <w:tcBorders>
              <w:tl2br w:val="nil"/>
              <w:tr2bl w:val="nil"/>
            </w:tcBorders>
            <w:vAlign w:val="center"/>
          </w:tcPr>
          <w:p>
            <w:pPr>
              <w:pStyle w:val="56"/>
              <w:rPr>
                <w:lang w:bidi="ar"/>
              </w:rPr>
            </w:pPr>
            <w:r>
              <w:rPr>
                <w:rFonts w:hint="eastAsia"/>
                <w:lang w:bidi="ar"/>
              </w:rPr>
              <w:t>标准</w:t>
            </w:r>
          </w:p>
        </w:tc>
        <w:tc>
          <w:tcPr>
            <w:tcW w:w="713" w:type="pct"/>
            <w:tcBorders>
              <w:tl2br w:val="nil"/>
              <w:tr2bl w:val="nil"/>
            </w:tcBorders>
            <w:vAlign w:val="center"/>
          </w:tcPr>
          <w:p>
            <w:pPr>
              <w:pStyle w:val="56"/>
              <w:rPr>
                <w:lang w:bidi="ar"/>
              </w:rPr>
            </w:pPr>
            <w:r>
              <w:rPr>
                <w:rFonts w:hint="eastAsia"/>
                <w:lang w:bidi="ar"/>
              </w:rPr>
              <w:t>达标情况</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restart"/>
            <w:tcBorders>
              <w:tl2br w:val="nil"/>
              <w:tr2bl w:val="nil"/>
            </w:tcBorders>
            <w:vAlign w:val="center"/>
          </w:tcPr>
          <w:p>
            <w:pPr>
              <w:pStyle w:val="56"/>
            </w:pPr>
            <w:r>
              <w:rPr>
                <w:rFonts w:hint="eastAsia"/>
              </w:rPr>
              <w:t>工业企业厂界环境噪声</w:t>
            </w:r>
          </w:p>
        </w:tc>
        <w:tc>
          <w:tcPr>
            <w:tcW w:w="714" w:type="pct"/>
            <w:vMerge w:val="restart"/>
            <w:tcBorders>
              <w:tl2br w:val="nil"/>
              <w:tr2bl w:val="nil"/>
            </w:tcBorders>
            <w:vAlign w:val="center"/>
          </w:tcPr>
          <w:p>
            <w:pPr>
              <w:pStyle w:val="56"/>
            </w:pPr>
            <w:r>
              <w:rPr>
                <w:rFonts w:hint="eastAsia"/>
              </w:rPr>
              <w:t>2021.0</w:t>
            </w:r>
            <w:r>
              <w:t>7.21</w:t>
            </w:r>
          </w:p>
        </w:tc>
        <w:tc>
          <w:tcPr>
            <w:tcW w:w="713" w:type="pct"/>
            <w:vMerge w:val="restart"/>
            <w:tcBorders>
              <w:tl2br w:val="nil"/>
              <w:tr2bl w:val="nil"/>
            </w:tcBorders>
            <w:vAlign w:val="center"/>
          </w:tcPr>
          <w:p>
            <w:pPr>
              <w:pStyle w:val="56"/>
            </w:pPr>
            <w:r>
              <w:t>昼间</w:t>
            </w:r>
          </w:p>
        </w:tc>
        <w:tc>
          <w:tcPr>
            <w:tcW w:w="713" w:type="pct"/>
            <w:tcBorders>
              <w:tl2br w:val="nil"/>
              <w:tr2bl w:val="nil"/>
            </w:tcBorders>
            <w:vAlign w:val="center"/>
          </w:tcPr>
          <w:p>
            <w:pPr>
              <w:pStyle w:val="56"/>
            </w:pPr>
            <w:r>
              <w:t>厂界</w:t>
            </w:r>
            <w:r>
              <w:rPr>
                <w:rFonts w:hint="eastAsia"/>
              </w:rPr>
              <w:t>东</w:t>
            </w:r>
          </w:p>
        </w:tc>
        <w:tc>
          <w:tcPr>
            <w:tcW w:w="716" w:type="pct"/>
            <w:tcBorders>
              <w:tl2br w:val="nil"/>
              <w:tr2bl w:val="nil"/>
            </w:tcBorders>
            <w:vAlign w:val="center"/>
          </w:tcPr>
          <w:p>
            <w:pPr>
              <w:pStyle w:val="56"/>
              <w:rPr>
                <w:lang w:bidi="ar"/>
              </w:rPr>
            </w:pPr>
            <w:r>
              <w:rPr>
                <w:rFonts w:hint="eastAsia" w:cs="Times New Roman"/>
                <w:kern w:val="0"/>
                <w:szCs w:val="21"/>
                <w:lang w:bidi="ar"/>
              </w:rPr>
              <w:t>56</w:t>
            </w:r>
          </w:p>
        </w:tc>
        <w:tc>
          <w:tcPr>
            <w:tcW w:w="716" w:type="pct"/>
            <w:tcBorders>
              <w:tl2br w:val="nil"/>
              <w:tr2bl w:val="nil"/>
            </w:tcBorders>
            <w:vAlign w:val="center"/>
          </w:tcPr>
          <w:p>
            <w:pPr>
              <w:pStyle w:val="56"/>
              <w:rPr>
                <w:lang w:bidi="ar"/>
              </w:rPr>
            </w:pPr>
            <w:r>
              <w:t>60</w:t>
            </w:r>
          </w:p>
        </w:tc>
        <w:tc>
          <w:tcPr>
            <w:tcW w:w="713" w:type="pct"/>
            <w:tcBorders>
              <w:tl2br w:val="nil"/>
              <w:tr2bl w:val="nil"/>
            </w:tcBorders>
            <w:vAlign w:val="center"/>
          </w:tcPr>
          <w:p>
            <w:pPr>
              <w:pStyle w:val="56"/>
              <w:rPr>
                <w:lang w:bidi="ar"/>
              </w:rPr>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南</w:t>
            </w:r>
          </w:p>
        </w:tc>
        <w:tc>
          <w:tcPr>
            <w:tcW w:w="716" w:type="pct"/>
            <w:tcBorders>
              <w:tl2br w:val="nil"/>
              <w:tr2bl w:val="nil"/>
            </w:tcBorders>
            <w:vAlign w:val="center"/>
          </w:tcPr>
          <w:p>
            <w:pPr>
              <w:pStyle w:val="56"/>
              <w:rPr>
                <w:highlight w:val="yellow"/>
              </w:rPr>
            </w:pPr>
            <w:r>
              <w:rPr>
                <w:rFonts w:hint="eastAsia" w:cs="Times New Roman"/>
                <w:szCs w:val="21"/>
              </w:rPr>
              <w:t>63</w:t>
            </w:r>
          </w:p>
        </w:tc>
        <w:tc>
          <w:tcPr>
            <w:tcW w:w="716" w:type="pct"/>
            <w:tcBorders>
              <w:tl2br w:val="nil"/>
              <w:tr2bl w:val="nil"/>
            </w:tcBorders>
            <w:vAlign w:val="center"/>
          </w:tcPr>
          <w:p>
            <w:pPr>
              <w:pStyle w:val="56"/>
            </w:pPr>
            <w:r>
              <w:t>70</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西</w:t>
            </w:r>
          </w:p>
        </w:tc>
        <w:tc>
          <w:tcPr>
            <w:tcW w:w="716" w:type="pct"/>
            <w:tcBorders>
              <w:tl2br w:val="nil"/>
              <w:tr2bl w:val="nil"/>
            </w:tcBorders>
            <w:vAlign w:val="center"/>
          </w:tcPr>
          <w:p>
            <w:pPr>
              <w:pStyle w:val="56"/>
            </w:pPr>
            <w:r>
              <w:rPr>
                <w:rFonts w:hint="eastAsia" w:cs="Times New Roman"/>
                <w:szCs w:val="21"/>
              </w:rPr>
              <w:t>56</w:t>
            </w:r>
          </w:p>
        </w:tc>
        <w:tc>
          <w:tcPr>
            <w:tcW w:w="716" w:type="pct"/>
            <w:tcBorders>
              <w:tl2br w:val="nil"/>
              <w:tr2bl w:val="nil"/>
            </w:tcBorders>
            <w:vAlign w:val="center"/>
          </w:tcPr>
          <w:p>
            <w:pPr>
              <w:pStyle w:val="56"/>
            </w:pPr>
            <w:r>
              <w:t>60</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北</w:t>
            </w:r>
          </w:p>
        </w:tc>
        <w:tc>
          <w:tcPr>
            <w:tcW w:w="716" w:type="pct"/>
            <w:tcBorders>
              <w:tl2br w:val="nil"/>
              <w:tr2bl w:val="nil"/>
            </w:tcBorders>
            <w:vAlign w:val="center"/>
          </w:tcPr>
          <w:p>
            <w:pPr>
              <w:pStyle w:val="56"/>
            </w:pPr>
            <w:r>
              <w:rPr>
                <w:rFonts w:hint="eastAsia" w:cs="Times New Roman"/>
                <w:szCs w:val="21"/>
              </w:rPr>
              <w:t>52</w:t>
            </w:r>
          </w:p>
        </w:tc>
        <w:tc>
          <w:tcPr>
            <w:tcW w:w="716" w:type="pct"/>
            <w:tcBorders>
              <w:tl2br w:val="nil"/>
              <w:tr2bl w:val="nil"/>
            </w:tcBorders>
            <w:vAlign w:val="center"/>
          </w:tcPr>
          <w:p>
            <w:pPr>
              <w:pStyle w:val="56"/>
            </w:pPr>
            <w:r>
              <w:t>60</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rPr>
                <w:rFonts w:hint="eastAsia"/>
              </w:rPr>
              <w:t>北侧居民区</w:t>
            </w:r>
          </w:p>
        </w:tc>
        <w:tc>
          <w:tcPr>
            <w:tcW w:w="716" w:type="pct"/>
            <w:tcBorders>
              <w:tl2br w:val="nil"/>
              <w:tr2bl w:val="nil"/>
            </w:tcBorders>
            <w:vAlign w:val="center"/>
          </w:tcPr>
          <w:p>
            <w:pPr>
              <w:pStyle w:val="56"/>
            </w:pPr>
            <w:r>
              <w:rPr>
                <w:rFonts w:hint="eastAsia" w:cs="Times New Roman"/>
                <w:szCs w:val="21"/>
              </w:rPr>
              <w:t>51</w:t>
            </w:r>
          </w:p>
        </w:tc>
        <w:tc>
          <w:tcPr>
            <w:tcW w:w="716" w:type="pct"/>
            <w:tcBorders>
              <w:tl2br w:val="nil"/>
              <w:tr2bl w:val="nil"/>
            </w:tcBorders>
            <w:vAlign w:val="center"/>
          </w:tcPr>
          <w:p>
            <w:pPr>
              <w:pStyle w:val="56"/>
            </w:pPr>
            <w:r>
              <w:rPr>
                <w:rFonts w:hint="eastAsia"/>
              </w:rPr>
              <w:t>5</w:t>
            </w:r>
            <w:r>
              <w:t>5</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restart"/>
            <w:tcBorders>
              <w:tl2br w:val="nil"/>
              <w:tr2bl w:val="nil"/>
            </w:tcBorders>
            <w:vAlign w:val="center"/>
          </w:tcPr>
          <w:p>
            <w:pPr>
              <w:pStyle w:val="56"/>
            </w:pPr>
            <w:r>
              <w:t>夜间</w:t>
            </w:r>
          </w:p>
        </w:tc>
        <w:tc>
          <w:tcPr>
            <w:tcW w:w="713" w:type="pct"/>
            <w:tcBorders>
              <w:tl2br w:val="nil"/>
              <w:tr2bl w:val="nil"/>
            </w:tcBorders>
            <w:vAlign w:val="center"/>
          </w:tcPr>
          <w:p>
            <w:pPr>
              <w:pStyle w:val="56"/>
            </w:pPr>
            <w:r>
              <w:t>厂界</w:t>
            </w:r>
            <w:r>
              <w:rPr>
                <w:rFonts w:hint="eastAsia"/>
              </w:rPr>
              <w:t>东</w:t>
            </w:r>
          </w:p>
        </w:tc>
        <w:tc>
          <w:tcPr>
            <w:tcW w:w="716" w:type="pct"/>
            <w:tcBorders>
              <w:tl2br w:val="nil"/>
              <w:tr2bl w:val="nil"/>
            </w:tcBorders>
            <w:vAlign w:val="center"/>
          </w:tcPr>
          <w:p>
            <w:pPr>
              <w:pStyle w:val="56"/>
            </w:pPr>
            <w:r>
              <w:rPr>
                <w:rFonts w:hint="eastAsia" w:cs="Times New Roman"/>
                <w:szCs w:val="21"/>
              </w:rPr>
              <w:t>47</w:t>
            </w:r>
          </w:p>
        </w:tc>
        <w:tc>
          <w:tcPr>
            <w:tcW w:w="716" w:type="pct"/>
            <w:tcBorders>
              <w:tl2br w:val="nil"/>
              <w:tr2bl w:val="nil"/>
            </w:tcBorders>
            <w:vAlign w:val="center"/>
          </w:tcPr>
          <w:p>
            <w:pPr>
              <w:pStyle w:val="56"/>
            </w:pPr>
            <w:r>
              <w:rPr>
                <w:rFonts w:hint="eastAsia"/>
              </w:rPr>
              <w:t>5</w:t>
            </w:r>
            <w:r>
              <w:t>0</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南</w:t>
            </w:r>
          </w:p>
        </w:tc>
        <w:tc>
          <w:tcPr>
            <w:tcW w:w="716" w:type="pct"/>
            <w:tcBorders>
              <w:tl2br w:val="nil"/>
              <w:tr2bl w:val="nil"/>
            </w:tcBorders>
            <w:vAlign w:val="center"/>
          </w:tcPr>
          <w:p>
            <w:pPr>
              <w:pStyle w:val="56"/>
              <w:rPr>
                <w:lang w:bidi="ar"/>
              </w:rPr>
            </w:pPr>
            <w:r>
              <w:rPr>
                <w:rFonts w:hint="eastAsia" w:cs="Times New Roman"/>
                <w:kern w:val="0"/>
                <w:szCs w:val="21"/>
                <w:lang w:bidi="ar"/>
              </w:rPr>
              <w:t>50</w:t>
            </w:r>
          </w:p>
        </w:tc>
        <w:tc>
          <w:tcPr>
            <w:tcW w:w="716" w:type="pct"/>
            <w:tcBorders>
              <w:tl2br w:val="nil"/>
              <w:tr2bl w:val="nil"/>
            </w:tcBorders>
            <w:vAlign w:val="center"/>
          </w:tcPr>
          <w:p>
            <w:pPr>
              <w:pStyle w:val="56"/>
              <w:rPr>
                <w:lang w:bidi="ar"/>
              </w:rPr>
            </w:pPr>
            <w:r>
              <w:rPr>
                <w:rFonts w:hint="eastAsia"/>
                <w:lang w:bidi="ar"/>
              </w:rPr>
              <w:t>5</w:t>
            </w:r>
            <w:r>
              <w:rPr>
                <w:lang w:bidi="ar"/>
              </w:rPr>
              <w:t>5</w:t>
            </w:r>
          </w:p>
        </w:tc>
        <w:tc>
          <w:tcPr>
            <w:tcW w:w="713" w:type="pct"/>
            <w:tcBorders>
              <w:tl2br w:val="nil"/>
              <w:tr2bl w:val="nil"/>
            </w:tcBorders>
            <w:vAlign w:val="center"/>
          </w:tcPr>
          <w:p>
            <w:pPr>
              <w:pStyle w:val="56"/>
              <w:rPr>
                <w:lang w:bidi="ar"/>
              </w:rPr>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西</w:t>
            </w:r>
          </w:p>
        </w:tc>
        <w:tc>
          <w:tcPr>
            <w:tcW w:w="716" w:type="pct"/>
            <w:tcBorders>
              <w:tl2br w:val="nil"/>
              <w:tr2bl w:val="nil"/>
            </w:tcBorders>
            <w:vAlign w:val="center"/>
          </w:tcPr>
          <w:p>
            <w:pPr>
              <w:pStyle w:val="56"/>
              <w:rPr>
                <w:lang w:bidi="ar"/>
              </w:rPr>
            </w:pPr>
            <w:r>
              <w:rPr>
                <w:rFonts w:hint="eastAsia" w:cs="Times New Roman"/>
                <w:kern w:val="0"/>
                <w:szCs w:val="21"/>
                <w:lang w:bidi="ar"/>
              </w:rPr>
              <w:t>46</w:t>
            </w:r>
          </w:p>
        </w:tc>
        <w:tc>
          <w:tcPr>
            <w:tcW w:w="716" w:type="pct"/>
            <w:tcBorders>
              <w:tl2br w:val="nil"/>
              <w:tr2bl w:val="nil"/>
            </w:tcBorders>
            <w:vAlign w:val="center"/>
          </w:tcPr>
          <w:p>
            <w:pPr>
              <w:pStyle w:val="56"/>
              <w:rPr>
                <w:lang w:bidi="ar"/>
              </w:rPr>
            </w:pPr>
            <w:r>
              <w:rPr>
                <w:rFonts w:hint="eastAsia"/>
              </w:rPr>
              <w:t>5</w:t>
            </w:r>
            <w:r>
              <w:t>0</w:t>
            </w:r>
          </w:p>
        </w:tc>
        <w:tc>
          <w:tcPr>
            <w:tcW w:w="713" w:type="pct"/>
            <w:tcBorders>
              <w:tl2br w:val="nil"/>
              <w:tr2bl w:val="nil"/>
            </w:tcBorders>
            <w:vAlign w:val="center"/>
          </w:tcPr>
          <w:p>
            <w:pPr>
              <w:pStyle w:val="56"/>
              <w:rPr>
                <w:lang w:bidi="ar"/>
              </w:rPr>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北</w:t>
            </w:r>
          </w:p>
        </w:tc>
        <w:tc>
          <w:tcPr>
            <w:tcW w:w="716" w:type="pct"/>
            <w:tcBorders>
              <w:tl2br w:val="nil"/>
              <w:tr2bl w:val="nil"/>
            </w:tcBorders>
            <w:vAlign w:val="center"/>
          </w:tcPr>
          <w:p>
            <w:pPr>
              <w:pStyle w:val="56"/>
            </w:pPr>
            <w:r>
              <w:rPr>
                <w:rFonts w:hint="eastAsia" w:cs="Times New Roman"/>
                <w:szCs w:val="21"/>
              </w:rPr>
              <w:t>44</w:t>
            </w:r>
          </w:p>
        </w:tc>
        <w:tc>
          <w:tcPr>
            <w:tcW w:w="716" w:type="pct"/>
            <w:tcBorders>
              <w:tl2br w:val="nil"/>
              <w:tr2bl w:val="nil"/>
            </w:tcBorders>
            <w:vAlign w:val="center"/>
          </w:tcPr>
          <w:p>
            <w:pPr>
              <w:pStyle w:val="56"/>
            </w:pPr>
            <w:r>
              <w:rPr>
                <w:rFonts w:hint="eastAsia"/>
              </w:rPr>
              <w:t>5</w:t>
            </w:r>
            <w:r>
              <w:t>0</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rPr>
                <w:rFonts w:hint="eastAsia"/>
              </w:rPr>
              <w:t>北侧居民区</w:t>
            </w:r>
          </w:p>
        </w:tc>
        <w:tc>
          <w:tcPr>
            <w:tcW w:w="716" w:type="pct"/>
            <w:tcBorders>
              <w:tl2br w:val="nil"/>
              <w:tr2bl w:val="nil"/>
            </w:tcBorders>
            <w:vAlign w:val="center"/>
          </w:tcPr>
          <w:p>
            <w:pPr>
              <w:pStyle w:val="56"/>
            </w:pPr>
            <w:r>
              <w:rPr>
                <w:rFonts w:hint="eastAsia" w:cs="Times New Roman"/>
                <w:szCs w:val="21"/>
              </w:rPr>
              <w:t>42</w:t>
            </w:r>
          </w:p>
        </w:tc>
        <w:tc>
          <w:tcPr>
            <w:tcW w:w="716" w:type="pct"/>
            <w:tcBorders>
              <w:tl2br w:val="nil"/>
              <w:tr2bl w:val="nil"/>
            </w:tcBorders>
            <w:vAlign w:val="center"/>
          </w:tcPr>
          <w:p>
            <w:pPr>
              <w:pStyle w:val="56"/>
            </w:pPr>
            <w:r>
              <w:rPr>
                <w:rFonts w:hint="eastAsia"/>
              </w:rPr>
              <w:t>4</w:t>
            </w:r>
            <w:r>
              <w:t>5</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restart"/>
            <w:tcBorders>
              <w:tl2br w:val="nil"/>
              <w:tr2bl w:val="nil"/>
            </w:tcBorders>
            <w:vAlign w:val="center"/>
          </w:tcPr>
          <w:p>
            <w:pPr>
              <w:pStyle w:val="56"/>
            </w:pPr>
            <w:r>
              <w:rPr>
                <w:rFonts w:hint="eastAsia"/>
              </w:rPr>
              <w:t>2021.0</w:t>
            </w:r>
            <w:r>
              <w:t>7.22</w:t>
            </w:r>
          </w:p>
        </w:tc>
        <w:tc>
          <w:tcPr>
            <w:tcW w:w="713" w:type="pct"/>
            <w:vMerge w:val="restart"/>
            <w:tcBorders>
              <w:tl2br w:val="nil"/>
              <w:tr2bl w:val="nil"/>
            </w:tcBorders>
            <w:vAlign w:val="center"/>
          </w:tcPr>
          <w:p>
            <w:pPr>
              <w:pStyle w:val="56"/>
            </w:pPr>
            <w:r>
              <w:t>昼间</w:t>
            </w:r>
          </w:p>
        </w:tc>
        <w:tc>
          <w:tcPr>
            <w:tcW w:w="713" w:type="pct"/>
            <w:tcBorders>
              <w:tl2br w:val="nil"/>
              <w:tr2bl w:val="nil"/>
            </w:tcBorders>
            <w:vAlign w:val="center"/>
          </w:tcPr>
          <w:p>
            <w:pPr>
              <w:pStyle w:val="56"/>
            </w:pPr>
            <w:r>
              <w:t>厂界</w:t>
            </w:r>
            <w:r>
              <w:rPr>
                <w:rFonts w:hint="eastAsia"/>
              </w:rPr>
              <w:t>东</w:t>
            </w:r>
          </w:p>
        </w:tc>
        <w:tc>
          <w:tcPr>
            <w:tcW w:w="716" w:type="pct"/>
            <w:tcBorders>
              <w:tl2br w:val="nil"/>
              <w:tr2bl w:val="nil"/>
            </w:tcBorders>
            <w:vAlign w:val="center"/>
          </w:tcPr>
          <w:p>
            <w:pPr>
              <w:pStyle w:val="56"/>
              <w:rPr>
                <w:lang w:bidi="ar"/>
              </w:rPr>
            </w:pPr>
            <w:r>
              <w:rPr>
                <w:rFonts w:hint="eastAsia" w:cs="Times New Roman"/>
                <w:kern w:val="0"/>
                <w:szCs w:val="21"/>
                <w:lang w:bidi="ar"/>
              </w:rPr>
              <w:t>57</w:t>
            </w:r>
          </w:p>
        </w:tc>
        <w:tc>
          <w:tcPr>
            <w:tcW w:w="716" w:type="pct"/>
            <w:tcBorders>
              <w:tl2br w:val="nil"/>
              <w:tr2bl w:val="nil"/>
            </w:tcBorders>
            <w:vAlign w:val="center"/>
          </w:tcPr>
          <w:p>
            <w:pPr>
              <w:pStyle w:val="56"/>
              <w:rPr>
                <w:lang w:bidi="ar"/>
              </w:rPr>
            </w:pPr>
            <w:r>
              <w:t>60</w:t>
            </w:r>
          </w:p>
        </w:tc>
        <w:tc>
          <w:tcPr>
            <w:tcW w:w="713" w:type="pct"/>
            <w:tcBorders>
              <w:tl2br w:val="nil"/>
              <w:tr2bl w:val="nil"/>
            </w:tcBorders>
            <w:vAlign w:val="center"/>
          </w:tcPr>
          <w:p>
            <w:pPr>
              <w:pStyle w:val="56"/>
              <w:rPr>
                <w:lang w:bidi="ar"/>
              </w:rPr>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南</w:t>
            </w:r>
          </w:p>
        </w:tc>
        <w:tc>
          <w:tcPr>
            <w:tcW w:w="716" w:type="pct"/>
            <w:tcBorders>
              <w:tl2br w:val="nil"/>
              <w:tr2bl w:val="nil"/>
            </w:tcBorders>
            <w:vAlign w:val="center"/>
          </w:tcPr>
          <w:p>
            <w:pPr>
              <w:pStyle w:val="56"/>
            </w:pPr>
            <w:r>
              <w:rPr>
                <w:rFonts w:hint="eastAsia" w:cs="Times New Roman"/>
                <w:szCs w:val="21"/>
              </w:rPr>
              <w:t>63</w:t>
            </w:r>
          </w:p>
        </w:tc>
        <w:tc>
          <w:tcPr>
            <w:tcW w:w="716" w:type="pct"/>
            <w:tcBorders>
              <w:tl2br w:val="nil"/>
              <w:tr2bl w:val="nil"/>
            </w:tcBorders>
            <w:vAlign w:val="center"/>
          </w:tcPr>
          <w:p>
            <w:pPr>
              <w:pStyle w:val="56"/>
            </w:pPr>
            <w:r>
              <w:t>70</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西</w:t>
            </w:r>
          </w:p>
        </w:tc>
        <w:tc>
          <w:tcPr>
            <w:tcW w:w="716" w:type="pct"/>
            <w:tcBorders>
              <w:tl2br w:val="nil"/>
              <w:tr2bl w:val="nil"/>
            </w:tcBorders>
            <w:vAlign w:val="center"/>
          </w:tcPr>
          <w:p>
            <w:pPr>
              <w:pStyle w:val="56"/>
            </w:pPr>
            <w:r>
              <w:rPr>
                <w:rFonts w:hint="eastAsia" w:cs="Times New Roman"/>
                <w:szCs w:val="21"/>
              </w:rPr>
              <w:t>56</w:t>
            </w:r>
          </w:p>
        </w:tc>
        <w:tc>
          <w:tcPr>
            <w:tcW w:w="716" w:type="pct"/>
            <w:tcBorders>
              <w:tl2br w:val="nil"/>
              <w:tr2bl w:val="nil"/>
            </w:tcBorders>
            <w:vAlign w:val="center"/>
          </w:tcPr>
          <w:p>
            <w:pPr>
              <w:pStyle w:val="56"/>
            </w:pPr>
            <w:r>
              <w:t>60</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北</w:t>
            </w:r>
          </w:p>
        </w:tc>
        <w:tc>
          <w:tcPr>
            <w:tcW w:w="716" w:type="pct"/>
            <w:tcBorders>
              <w:tl2br w:val="nil"/>
              <w:tr2bl w:val="nil"/>
            </w:tcBorders>
            <w:vAlign w:val="center"/>
          </w:tcPr>
          <w:p>
            <w:pPr>
              <w:pStyle w:val="56"/>
            </w:pPr>
            <w:r>
              <w:rPr>
                <w:rFonts w:hint="eastAsia" w:cs="Times New Roman"/>
                <w:szCs w:val="21"/>
              </w:rPr>
              <w:t>53</w:t>
            </w:r>
          </w:p>
        </w:tc>
        <w:tc>
          <w:tcPr>
            <w:tcW w:w="716" w:type="pct"/>
            <w:tcBorders>
              <w:tl2br w:val="nil"/>
              <w:tr2bl w:val="nil"/>
            </w:tcBorders>
            <w:vAlign w:val="center"/>
          </w:tcPr>
          <w:p>
            <w:pPr>
              <w:pStyle w:val="56"/>
            </w:pPr>
            <w:r>
              <w:t>60</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rPr>
                <w:rFonts w:hint="eastAsia"/>
              </w:rPr>
              <w:t>北侧居民区</w:t>
            </w:r>
          </w:p>
        </w:tc>
        <w:tc>
          <w:tcPr>
            <w:tcW w:w="716" w:type="pct"/>
            <w:tcBorders>
              <w:tl2br w:val="nil"/>
              <w:tr2bl w:val="nil"/>
            </w:tcBorders>
            <w:vAlign w:val="center"/>
          </w:tcPr>
          <w:p>
            <w:pPr>
              <w:pStyle w:val="56"/>
            </w:pPr>
            <w:r>
              <w:rPr>
                <w:rFonts w:hint="eastAsia" w:cs="Times New Roman"/>
                <w:szCs w:val="21"/>
              </w:rPr>
              <w:t>51</w:t>
            </w:r>
          </w:p>
        </w:tc>
        <w:tc>
          <w:tcPr>
            <w:tcW w:w="716" w:type="pct"/>
            <w:tcBorders>
              <w:tl2br w:val="nil"/>
              <w:tr2bl w:val="nil"/>
            </w:tcBorders>
            <w:vAlign w:val="center"/>
          </w:tcPr>
          <w:p>
            <w:pPr>
              <w:pStyle w:val="56"/>
            </w:pPr>
            <w:r>
              <w:rPr>
                <w:rFonts w:hint="eastAsia"/>
              </w:rPr>
              <w:t>5</w:t>
            </w:r>
            <w:r>
              <w:t>5</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restart"/>
            <w:tcBorders>
              <w:tl2br w:val="nil"/>
              <w:tr2bl w:val="nil"/>
            </w:tcBorders>
            <w:vAlign w:val="center"/>
          </w:tcPr>
          <w:p>
            <w:pPr>
              <w:pStyle w:val="56"/>
            </w:pPr>
            <w:r>
              <w:t>夜间</w:t>
            </w:r>
          </w:p>
        </w:tc>
        <w:tc>
          <w:tcPr>
            <w:tcW w:w="713" w:type="pct"/>
            <w:tcBorders>
              <w:tl2br w:val="nil"/>
              <w:tr2bl w:val="nil"/>
            </w:tcBorders>
            <w:vAlign w:val="center"/>
          </w:tcPr>
          <w:p>
            <w:pPr>
              <w:pStyle w:val="56"/>
            </w:pPr>
            <w:r>
              <w:t>厂界</w:t>
            </w:r>
            <w:r>
              <w:rPr>
                <w:rFonts w:hint="eastAsia"/>
              </w:rPr>
              <w:t>东</w:t>
            </w:r>
          </w:p>
        </w:tc>
        <w:tc>
          <w:tcPr>
            <w:tcW w:w="716" w:type="pct"/>
            <w:tcBorders>
              <w:tl2br w:val="nil"/>
              <w:tr2bl w:val="nil"/>
            </w:tcBorders>
            <w:vAlign w:val="center"/>
          </w:tcPr>
          <w:p>
            <w:pPr>
              <w:pStyle w:val="56"/>
            </w:pPr>
            <w:r>
              <w:rPr>
                <w:rFonts w:hint="eastAsia" w:cs="Times New Roman"/>
                <w:szCs w:val="21"/>
              </w:rPr>
              <w:t>46</w:t>
            </w:r>
          </w:p>
        </w:tc>
        <w:tc>
          <w:tcPr>
            <w:tcW w:w="716" w:type="pct"/>
            <w:tcBorders>
              <w:tl2br w:val="nil"/>
              <w:tr2bl w:val="nil"/>
            </w:tcBorders>
            <w:vAlign w:val="center"/>
          </w:tcPr>
          <w:p>
            <w:pPr>
              <w:pStyle w:val="56"/>
            </w:pPr>
            <w:r>
              <w:rPr>
                <w:rFonts w:hint="eastAsia"/>
              </w:rPr>
              <w:t>5</w:t>
            </w:r>
            <w:r>
              <w:t>0</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南</w:t>
            </w:r>
          </w:p>
        </w:tc>
        <w:tc>
          <w:tcPr>
            <w:tcW w:w="716" w:type="pct"/>
            <w:tcBorders>
              <w:tl2br w:val="nil"/>
              <w:tr2bl w:val="nil"/>
            </w:tcBorders>
            <w:vAlign w:val="center"/>
          </w:tcPr>
          <w:p>
            <w:pPr>
              <w:pStyle w:val="56"/>
            </w:pPr>
            <w:r>
              <w:rPr>
                <w:rFonts w:hint="eastAsia" w:cs="Times New Roman"/>
                <w:szCs w:val="21"/>
              </w:rPr>
              <w:t>51</w:t>
            </w:r>
          </w:p>
        </w:tc>
        <w:tc>
          <w:tcPr>
            <w:tcW w:w="716" w:type="pct"/>
            <w:tcBorders>
              <w:tl2br w:val="nil"/>
              <w:tr2bl w:val="nil"/>
            </w:tcBorders>
            <w:vAlign w:val="center"/>
          </w:tcPr>
          <w:p>
            <w:pPr>
              <w:pStyle w:val="56"/>
            </w:pPr>
            <w:r>
              <w:rPr>
                <w:rFonts w:hint="eastAsia"/>
                <w:lang w:bidi="ar"/>
              </w:rPr>
              <w:t>5</w:t>
            </w:r>
            <w:r>
              <w:rPr>
                <w:lang w:bidi="ar"/>
              </w:rPr>
              <w:t>5</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西</w:t>
            </w:r>
          </w:p>
        </w:tc>
        <w:tc>
          <w:tcPr>
            <w:tcW w:w="716" w:type="pct"/>
            <w:tcBorders>
              <w:tl2br w:val="nil"/>
              <w:tr2bl w:val="nil"/>
            </w:tcBorders>
            <w:vAlign w:val="center"/>
          </w:tcPr>
          <w:p>
            <w:pPr>
              <w:pStyle w:val="56"/>
            </w:pPr>
            <w:r>
              <w:rPr>
                <w:rFonts w:hint="eastAsia" w:cs="Times New Roman"/>
                <w:szCs w:val="21"/>
              </w:rPr>
              <w:t>46</w:t>
            </w:r>
          </w:p>
        </w:tc>
        <w:tc>
          <w:tcPr>
            <w:tcW w:w="716" w:type="pct"/>
            <w:tcBorders>
              <w:tl2br w:val="nil"/>
              <w:tr2bl w:val="nil"/>
            </w:tcBorders>
            <w:vAlign w:val="center"/>
          </w:tcPr>
          <w:p>
            <w:pPr>
              <w:pStyle w:val="56"/>
            </w:pPr>
            <w:r>
              <w:rPr>
                <w:rFonts w:hint="eastAsia"/>
              </w:rPr>
              <w:t>5</w:t>
            </w:r>
            <w:r>
              <w:t>0</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t>厂界</w:t>
            </w:r>
            <w:r>
              <w:rPr>
                <w:rFonts w:hint="eastAsia"/>
              </w:rPr>
              <w:t>北</w:t>
            </w:r>
          </w:p>
        </w:tc>
        <w:tc>
          <w:tcPr>
            <w:tcW w:w="716" w:type="pct"/>
            <w:tcBorders>
              <w:tl2br w:val="nil"/>
              <w:tr2bl w:val="nil"/>
            </w:tcBorders>
            <w:vAlign w:val="center"/>
          </w:tcPr>
          <w:p>
            <w:pPr>
              <w:pStyle w:val="56"/>
            </w:pPr>
            <w:r>
              <w:rPr>
                <w:rFonts w:hint="eastAsia" w:cs="Times New Roman"/>
                <w:szCs w:val="21"/>
              </w:rPr>
              <w:t>43</w:t>
            </w:r>
          </w:p>
        </w:tc>
        <w:tc>
          <w:tcPr>
            <w:tcW w:w="716" w:type="pct"/>
            <w:tcBorders>
              <w:tl2br w:val="nil"/>
              <w:tr2bl w:val="nil"/>
            </w:tcBorders>
            <w:vAlign w:val="center"/>
          </w:tcPr>
          <w:p>
            <w:pPr>
              <w:pStyle w:val="56"/>
            </w:pPr>
            <w:r>
              <w:rPr>
                <w:rFonts w:hint="eastAsia"/>
              </w:rPr>
              <w:t>5</w:t>
            </w:r>
            <w:r>
              <w:t>0</w:t>
            </w:r>
          </w:p>
        </w:tc>
        <w:tc>
          <w:tcPr>
            <w:tcW w:w="713" w:type="pct"/>
            <w:tcBorders>
              <w:tl2br w:val="nil"/>
              <w:tr2bl w:val="nil"/>
            </w:tcBorders>
            <w:vAlign w:val="center"/>
          </w:tcPr>
          <w:p>
            <w:pPr>
              <w:pStyle w:val="56"/>
            </w:pPr>
            <w:r>
              <w:rPr>
                <w:rFonts w:hint="eastAsia"/>
                <w:lang w:bidi="ar"/>
              </w:rPr>
              <w:t>达标</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716" w:type="pct"/>
            <w:vMerge w:val="continue"/>
            <w:tcBorders>
              <w:tl2br w:val="nil"/>
              <w:tr2bl w:val="nil"/>
            </w:tcBorders>
            <w:vAlign w:val="center"/>
          </w:tcPr>
          <w:p>
            <w:pPr>
              <w:pStyle w:val="56"/>
            </w:pPr>
          </w:p>
        </w:tc>
        <w:tc>
          <w:tcPr>
            <w:tcW w:w="714" w:type="pct"/>
            <w:vMerge w:val="continue"/>
            <w:tcBorders>
              <w:tl2br w:val="nil"/>
              <w:tr2bl w:val="nil"/>
            </w:tcBorders>
            <w:vAlign w:val="center"/>
          </w:tcPr>
          <w:p>
            <w:pPr>
              <w:pStyle w:val="56"/>
            </w:pPr>
          </w:p>
        </w:tc>
        <w:tc>
          <w:tcPr>
            <w:tcW w:w="713" w:type="pct"/>
            <w:vMerge w:val="continue"/>
            <w:tcBorders>
              <w:tl2br w:val="nil"/>
              <w:tr2bl w:val="nil"/>
            </w:tcBorders>
            <w:vAlign w:val="center"/>
          </w:tcPr>
          <w:p>
            <w:pPr>
              <w:pStyle w:val="56"/>
            </w:pPr>
          </w:p>
        </w:tc>
        <w:tc>
          <w:tcPr>
            <w:tcW w:w="713" w:type="pct"/>
            <w:tcBorders>
              <w:tl2br w:val="nil"/>
              <w:tr2bl w:val="nil"/>
            </w:tcBorders>
            <w:vAlign w:val="center"/>
          </w:tcPr>
          <w:p>
            <w:pPr>
              <w:pStyle w:val="56"/>
            </w:pPr>
            <w:r>
              <w:rPr>
                <w:rFonts w:hint="eastAsia"/>
              </w:rPr>
              <w:t>北侧居民区</w:t>
            </w:r>
          </w:p>
        </w:tc>
        <w:tc>
          <w:tcPr>
            <w:tcW w:w="716" w:type="pct"/>
            <w:tcBorders>
              <w:tl2br w:val="nil"/>
              <w:tr2bl w:val="nil"/>
            </w:tcBorders>
            <w:vAlign w:val="center"/>
          </w:tcPr>
          <w:p>
            <w:pPr>
              <w:pStyle w:val="56"/>
            </w:pPr>
            <w:r>
              <w:rPr>
                <w:rFonts w:hint="eastAsia" w:cs="Times New Roman"/>
                <w:szCs w:val="21"/>
              </w:rPr>
              <w:t>42</w:t>
            </w:r>
          </w:p>
        </w:tc>
        <w:tc>
          <w:tcPr>
            <w:tcW w:w="716" w:type="pct"/>
            <w:tcBorders>
              <w:tl2br w:val="nil"/>
              <w:tr2bl w:val="nil"/>
            </w:tcBorders>
            <w:vAlign w:val="center"/>
          </w:tcPr>
          <w:p>
            <w:pPr>
              <w:pStyle w:val="56"/>
            </w:pPr>
            <w:r>
              <w:rPr>
                <w:rFonts w:hint="eastAsia"/>
              </w:rPr>
              <w:t>4</w:t>
            </w:r>
            <w:r>
              <w:t>5</w:t>
            </w:r>
          </w:p>
        </w:tc>
        <w:tc>
          <w:tcPr>
            <w:tcW w:w="713" w:type="pct"/>
            <w:tcBorders>
              <w:tl2br w:val="nil"/>
              <w:tr2bl w:val="nil"/>
            </w:tcBorders>
            <w:vAlign w:val="center"/>
          </w:tcPr>
          <w:p>
            <w:pPr>
              <w:pStyle w:val="56"/>
            </w:pPr>
            <w:r>
              <w:rPr>
                <w:rFonts w:hint="eastAsia"/>
                <w:lang w:bidi="ar"/>
              </w:rPr>
              <w:t>达标</w:t>
            </w:r>
          </w:p>
        </w:tc>
      </w:tr>
    </w:tbl>
    <w:p>
      <w:pPr>
        <w:ind w:firstLine="480"/>
      </w:pPr>
    </w:p>
    <w:p>
      <w:pPr>
        <w:ind w:firstLine="480"/>
      </w:pPr>
      <w:bookmarkStart w:id="362" w:name="_Toc27331"/>
      <w:bookmarkStart w:id="363" w:name="_Toc7031"/>
      <w:bookmarkStart w:id="364" w:name="_Toc27065"/>
      <w:bookmarkStart w:id="365" w:name="_Toc23931"/>
      <w:r>
        <w:t>由上表可知，</w:t>
      </w:r>
      <w:r>
        <w:rPr>
          <w:rFonts w:hint="eastAsia"/>
        </w:rPr>
        <w:t>厂界东、西、北侧噪声符合《工业企业厂界环境噪声排放标准》（GB12348-2008）中的</w:t>
      </w:r>
      <w:r>
        <w:t>2</w:t>
      </w:r>
      <w:r>
        <w:rPr>
          <w:rFonts w:hint="eastAsia"/>
        </w:rPr>
        <w:t>类标准，南侧噪声符合4类标准。</w:t>
      </w:r>
      <w:r>
        <w:t>厂界噪声达标排放。</w:t>
      </w:r>
    </w:p>
    <w:p>
      <w:pPr>
        <w:ind w:firstLine="480"/>
      </w:pPr>
      <w:r>
        <w:rPr>
          <w:rFonts w:hint="eastAsia"/>
        </w:rPr>
        <w:t>敏感点处噪声符合1类标准，对居民影响较小。</w:t>
      </w:r>
    </w:p>
    <w:p>
      <w:pPr>
        <w:pStyle w:val="9"/>
        <w:keepNext w:val="0"/>
        <w:keepLines w:val="0"/>
        <w:spacing w:before="240" w:beforeLines="100"/>
      </w:pPr>
      <w:r>
        <w:t>9.2.</w:t>
      </w:r>
      <w:r>
        <w:rPr>
          <w:rFonts w:hint="eastAsia"/>
        </w:rPr>
        <w:t>4</w:t>
      </w:r>
      <w:r>
        <w:t xml:space="preserve">  </w:t>
      </w:r>
      <w:r>
        <w:rPr>
          <w:rFonts w:hint="eastAsia"/>
        </w:rPr>
        <w:t>总量计算</w:t>
      </w:r>
    </w:p>
    <w:p>
      <w:pPr>
        <w:ind w:firstLine="480"/>
      </w:pPr>
      <w:r>
        <w:rPr>
          <w:rFonts w:hint="eastAsia"/>
        </w:rPr>
        <w:t>本项目产生的VOCS活性炭处理处理后，根据监测结果处理措施出口2＃均值，计算本项目新增VOCs总量为：0.</w:t>
      </w:r>
      <w:r>
        <w:t>0</w:t>
      </w:r>
      <w:r>
        <w:rPr>
          <w:rFonts w:hint="eastAsia"/>
          <w:lang w:val="en-US" w:eastAsia="zh-CN"/>
        </w:rPr>
        <w:t>13</w:t>
      </w:r>
      <w:r>
        <w:rPr>
          <w:rFonts w:hint="eastAsia"/>
        </w:rPr>
        <w:t>kg/h×</w:t>
      </w:r>
      <w:r>
        <w:t>4</w:t>
      </w:r>
      <w:r>
        <w:rPr>
          <w:rFonts w:hint="eastAsia"/>
        </w:rPr>
        <w:t>000h/a=0.</w:t>
      </w:r>
      <w:r>
        <w:rPr>
          <w:rFonts w:hint="eastAsia"/>
          <w:lang w:val="en-US" w:eastAsia="zh-CN"/>
        </w:rPr>
        <w:t>052</w:t>
      </w:r>
      <w:r>
        <w:rPr>
          <w:rFonts w:hint="eastAsia"/>
        </w:rPr>
        <w:t>t/a＜0.283t/a，0.</w:t>
      </w:r>
      <w:r>
        <w:rPr>
          <w:rFonts w:hint="eastAsia"/>
          <w:lang w:val="en-US" w:eastAsia="zh-CN"/>
        </w:rPr>
        <w:t>052</w:t>
      </w:r>
      <w:r>
        <w:rPr>
          <w:rFonts w:hint="eastAsia"/>
        </w:rPr>
        <w:t>t/a占0</w:t>
      </w:r>
      <w:r>
        <w:t>.283</w:t>
      </w:r>
      <w:r>
        <w:rPr>
          <w:rFonts w:hint="eastAsia"/>
        </w:rPr>
        <w:t>t</w:t>
      </w:r>
      <w:r>
        <w:t>/a</w:t>
      </w:r>
      <w:r>
        <w:rPr>
          <w:rFonts w:hint="eastAsia"/>
        </w:rPr>
        <w:t>的</w:t>
      </w:r>
      <w:r>
        <w:rPr>
          <w:rFonts w:hint="eastAsia"/>
          <w:lang w:val="en-US" w:eastAsia="zh-CN"/>
        </w:rPr>
        <w:t>18</w:t>
      </w:r>
      <w:r>
        <w:t>%</w:t>
      </w:r>
      <w:r>
        <w:rPr>
          <w:rFonts w:hint="eastAsia"/>
        </w:rPr>
        <w:t>。因此本项目新增VOCS总量小于环评报告中预测VOCS总量。</w:t>
      </w:r>
      <w:r>
        <w:br w:type="page"/>
      </w:r>
    </w:p>
    <w:bookmarkEnd w:id="362"/>
    <w:bookmarkEnd w:id="363"/>
    <w:bookmarkEnd w:id="364"/>
    <w:bookmarkEnd w:id="365"/>
    <w:p>
      <w:pPr>
        <w:pStyle w:val="7"/>
        <w:keepNext w:val="0"/>
        <w:keepLines w:val="0"/>
        <w:widowControl w:val="0"/>
      </w:pPr>
      <w:bookmarkStart w:id="366" w:name="_Toc47431964"/>
      <w:bookmarkStart w:id="367" w:name="_Toc3703"/>
      <w:bookmarkStart w:id="368" w:name="_Toc24011"/>
      <w:bookmarkStart w:id="369" w:name="_Toc11707"/>
      <w:bookmarkStart w:id="370" w:name="_Toc25950"/>
      <w:bookmarkStart w:id="371" w:name="_Toc22666"/>
      <w:bookmarkStart w:id="372" w:name="_Toc16995"/>
      <w:bookmarkStart w:id="373" w:name="_Toc32274"/>
      <w:bookmarkStart w:id="374" w:name="_Toc14870"/>
      <w:r>
        <w:t>10  验收监测结论</w:t>
      </w:r>
      <w:bookmarkEnd w:id="366"/>
      <w:bookmarkEnd w:id="367"/>
      <w:bookmarkEnd w:id="368"/>
      <w:bookmarkEnd w:id="369"/>
      <w:bookmarkEnd w:id="370"/>
      <w:bookmarkEnd w:id="371"/>
      <w:bookmarkEnd w:id="372"/>
      <w:bookmarkEnd w:id="373"/>
      <w:bookmarkEnd w:id="374"/>
    </w:p>
    <w:p>
      <w:pPr>
        <w:pStyle w:val="8"/>
        <w:keepNext w:val="0"/>
        <w:keepLines w:val="0"/>
        <w:rPr>
          <w:color w:val="auto"/>
        </w:rPr>
      </w:pPr>
      <w:bookmarkStart w:id="375" w:name="_Toc28890"/>
      <w:bookmarkStart w:id="376" w:name="_Toc625"/>
      <w:bookmarkStart w:id="377" w:name="_Toc13759"/>
      <w:bookmarkStart w:id="378" w:name="_Toc47431965"/>
      <w:bookmarkStart w:id="379" w:name="_Toc19361"/>
      <w:bookmarkStart w:id="380" w:name="_Toc6713"/>
      <w:bookmarkStart w:id="381" w:name="_Toc26223"/>
      <w:r>
        <w:rPr>
          <w:color w:val="auto"/>
        </w:rPr>
        <w:t>10.1  环保设施调试运行效果</w:t>
      </w:r>
      <w:bookmarkEnd w:id="375"/>
      <w:bookmarkEnd w:id="376"/>
      <w:bookmarkEnd w:id="377"/>
      <w:bookmarkEnd w:id="378"/>
      <w:bookmarkEnd w:id="379"/>
      <w:bookmarkEnd w:id="380"/>
      <w:bookmarkEnd w:id="381"/>
    </w:p>
    <w:p>
      <w:pPr>
        <w:ind w:firstLine="480"/>
      </w:pPr>
      <w:r>
        <w:t>（</w:t>
      </w:r>
      <w:r>
        <w:rPr>
          <w:rFonts w:hint="eastAsia"/>
        </w:rPr>
        <w:t>1</w:t>
      </w:r>
      <w:r>
        <w:t>）废气</w:t>
      </w:r>
    </w:p>
    <w:p>
      <w:pPr>
        <w:ind w:firstLine="480"/>
      </w:pPr>
      <w:r>
        <w:rPr>
          <w:rFonts w:hint="eastAsia"/>
        </w:rPr>
        <w:t>排气筒</w:t>
      </w:r>
      <w:r>
        <w:t>出口最大浓度为</w:t>
      </w:r>
      <w:r>
        <w:rPr>
          <w:rFonts w:hint="eastAsia"/>
          <w:lang w:val="en-US" w:eastAsia="zh-CN"/>
        </w:rPr>
        <w:t>0.85</w:t>
      </w:r>
      <w:r>
        <w:t>mg/m</w:t>
      </w:r>
      <w:r>
        <w:rPr>
          <w:vertAlign w:val="superscript"/>
        </w:rPr>
        <w:t>3</w:t>
      </w:r>
      <w:r>
        <w:t>，</w:t>
      </w:r>
      <w:r>
        <w:rPr>
          <w:rFonts w:hint="eastAsia"/>
        </w:rPr>
        <w:t>速率为</w:t>
      </w:r>
      <w:r>
        <w:t>0.</w:t>
      </w:r>
      <w:r>
        <w:rPr>
          <w:rFonts w:hint="eastAsia"/>
          <w:lang w:val="en-US" w:eastAsia="zh-CN"/>
        </w:rPr>
        <w:t>015</w:t>
      </w:r>
      <w:r>
        <w:rPr>
          <w:rFonts w:hint="eastAsia"/>
        </w:rPr>
        <w:t>kg</w:t>
      </w:r>
      <w:r>
        <w:t>/h</w:t>
      </w:r>
      <w:r>
        <w:rPr>
          <w:rFonts w:hint="eastAsia"/>
        </w:rPr>
        <w:t>，</w:t>
      </w:r>
      <w:r>
        <w:t>均满足</w:t>
      </w:r>
      <w:r>
        <w:rPr>
          <w:rFonts w:hint="eastAsia"/>
          <w:kern w:val="0"/>
        </w:rPr>
        <w:t>《印刷业挥发性有机物排放标准》（DB21</w:t>
      </w:r>
      <w:r>
        <w:rPr>
          <w:kern w:val="0"/>
        </w:rPr>
        <w:t>/</w:t>
      </w:r>
      <w:r>
        <w:rPr>
          <w:rFonts w:hint="eastAsia"/>
          <w:kern w:val="0"/>
        </w:rPr>
        <w:t>3161-2019）</w:t>
      </w:r>
      <w:r>
        <w:rPr>
          <w:kern w:val="0"/>
        </w:rPr>
        <w:t>排放标准</w:t>
      </w:r>
      <w:r>
        <w:t>。</w:t>
      </w:r>
    </w:p>
    <w:p>
      <w:pPr>
        <w:pStyle w:val="2"/>
      </w:pPr>
      <w:r>
        <w:rPr>
          <w:rFonts w:hint="eastAsia"/>
        </w:rPr>
        <w:t>平均</w:t>
      </w:r>
      <w:r>
        <w:t>去除效率为83.89%，</w:t>
      </w:r>
      <w:r>
        <w:rPr>
          <w:rFonts w:hint="eastAsia"/>
        </w:rPr>
        <w:t>满足环评提出的7</w:t>
      </w:r>
      <w:r>
        <w:t>0</w:t>
      </w:r>
      <w:r>
        <w:rPr>
          <w:rFonts w:hint="eastAsia"/>
        </w:rPr>
        <w:t>%处理效率要求。</w:t>
      </w:r>
    </w:p>
    <w:p>
      <w:pPr>
        <w:ind w:firstLine="480"/>
        <w:rPr>
          <w:kern w:val="0"/>
        </w:rPr>
      </w:pPr>
      <w:r>
        <w:t>验收期间厂界上、下风向监测点的</w:t>
      </w:r>
      <w:r>
        <w:rPr>
          <w:kern w:val="0"/>
        </w:rPr>
        <w:t>非甲烷总烃</w:t>
      </w:r>
      <w:r>
        <w:t>最大浓度值为0.86mg/m</w:t>
      </w:r>
      <w:r>
        <w:rPr>
          <w:vertAlign w:val="superscript"/>
        </w:rPr>
        <w:t>3</w:t>
      </w:r>
      <w:r>
        <w:t>，满足</w:t>
      </w:r>
      <w:r>
        <w:rPr>
          <w:rFonts w:hint="eastAsia"/>
          <w:kern w:val="0"/>
        </w:rPr>
        <w:t>《印刷业挥发性有机物排放标准》（DB21</w:t>
      </w:r>
      <w:r>
        <w:rPr>
          <w:kern w:val="0"/>
        </w:rPr>
        <w:t>/</w:t>
      </w:r>
      <w:r>
        <w:rPr>
          <w:rFonts w:hint="eastAsia"/>
          <w:kern w:val="0"/>
        </w:rPr>
        <w:t>3161-2019）</w:t>
      </w:r>
      <w:r>
        <w:rPr>
          <w:kern w:val="0"/>
        </w:rPr>
        <w:t>排放标准</w:t>
      </w:r>
    </w:p>
    <w:p>
      <w:pPr>
        <w:ind w:firstLine="480"/>
      </w:pPr>
      <w:r>
        <w:rPr>
          <w:rFonts w:hint="eastAsia"/>
          <w:kern w:val="0"/>
        </w:rPr>
        <w:t>厂界内最大浓度值</w:t>
      </w:r>
      <w:r>
        <w:rPr>
          <w:kern w:val="0"/>
        </w:rPr>
        <w:t>3.24</w:t>
      </w:r>
      <w:r>
        <w:t>mg/m</w:t>
      </w:r>
      <w:r>
        <w:rPr>
          <w:vertAlign w:val="superscript"/>
        </w:rPr>
        <w:t>3</w:t>
      </w:r>
      <w:r>
        <w:t>，</w:t>
      </w:r>
      <w:r>
        <w:rPr>
          <w:rFonts w:hint="eastAsia"/>
          <w:kern w:val="0"/>
        </w:rPr>
        <w:t>《挥发性有机物无组织排放标准》（GB37822-2019）特别限值要求</w:t>
      </w:r>
      <w:r>
        <w:t>。</w:t>
      </w:r>
    </w:p>
    <w:p>
      <w:pPr>
        <w:ind w:left="480" w:leftChars="200" w:firstLine="0" w:firstLineChars="0"/>
      </w:pPr>
      <w:r>
        <w:t>（</w:t>
      </w:r>
      <w:r>
        <w:rPr>
          <w:rFonts w:hint="eastAsia"/>
        </w:rPr>
        <w:t>2</w:t>
      </w:r>
      <w:r>
        <w:t>）厂界噪声</w:t>
      </w:r>
    </w:p>
    <w:p>
      <w:pPr>
        <w:ind w:firstLine="480"/>
      </w:pPr>
      <w:r>
        <w:rPr>
          <w:rFonts w:hint="eastAsia"/>
        </w:rPr>
        <w:t>厂界东、西、北侧噪声符合《工业企业厂界环境噪声排放标准》（GB12348-2008）中的</w:t>
      </w:r>
      <w:r>
        <w:t>2</w:t>
      </w:r>
      <w:r>
        <w:rPr>
          <w:rFonts w:hint="eastAsia"/>
        </w:rPr>
        <w:t>类标准，南侧噪声符合4类标准。</w:t>
      </w:r>
      <w:r>
        <w:t>厂界噪声达标排放。</w:t>
      </w:r>
    </w:p>
    <w:p>
      <w:pPr>
        <w:ind w:firstLine="480"/>
      </w:pPr>
      <w:r>
        <w:rPr>
          <w:rFonts w:hint="eastAsia"/>
        </w:rPr>
        <w:t>敏感点处噪声符合1类标准，对居民影响较小。</w:t>
      </w:r>
    </w:p>
    <w:p>
      <w:pPr>
        <w:pStyle w:val="8"/>
        <w:rPr>
          <w:color w:val="auto"/>
        </w:rPr>
      </w:pPr>
      <w:bookmarkStart w:id="382" w:name="_Toc14705"/>
      <w:bookmarkStart w:id="383" w:name="_Toc18189"/>
      <w:bookmarkStart w:id="384" w:name="_Toc622"/>
      <w:bookmarkStart w:id="385" w:name="_Toc1638"/>
      <w:bookmarkStart w:id="386" w:name="_Toc9979"/>
      <w:bookmarkStart w:id="387" w:name="_Toc6431"/>
      <w:r>
        <w:rPr>
          <w:color w:val="auto"/>
        </w:rPr>
        <w:t>10.2  工程建设对环境的影响</w:t>
      </w:r>
      <w:bookmarkEnd w:id="382"/>
      <w:bookmarkEnd w:id="383"/>
      <w:bookmarkEnd w:id="384"/>
      <w:bookmarkEnd w:id="385"/>
      <w:bookmarkEnd w:id="386"/>
      <w:bookmarkEnd w:id="387"/>
    </w:p>
    <w:p>
      <w:pPr>
        <w:ind w:firstLine="480"/>
      </w:pPr>
      <w:r>
        <w:t>根据调查结果表明，沈阳造币有限公司彩喷机十台购置建设项目对周围环境影响较小，项目环境风险可控。</w:t>
      </w:r>
    </w:p>
    <w:p>
      <w:pPr>
        <w:pStyle w:val="8"/>
        <w:rPr>
          <w:color w:val="auto"/>
        </w:rPr>
      </w:pPr>
      <w:bookmarkStart w:id="388" w:name="_Toc10497"/>
      <w:bookmarkStart w:id="389" w:name="_Toc6361"/>
      <w:bookmarkStart w:id="390" w:name="_Toc12806"/>
      <w:bookmarkStart w:id="391" w:name="_Toc28554"/>
      <w:bookmarkStart w:id="392" w:name="_Toc47431966"/>
      <w:bookmarkStart w:id="393" w:name="_Toc13386"/>
      <w:bookmarkStart w:id="394" w:name="_Toc7835"/>
      <w:r>
        <w:rPr>
          <w:color w:val="auto"/>
        </w:rPr>
        <w:t>10.3  验收结论</w:t>
      </w:r>
      <w:bookmarkEnd w:id="388"/>
      <w:bookmarkEnd w:id="389"/>
      <w:bookmarkEnd w:id="390"/>
      <w:bookmarkEnd w:id="391"/>
      <w:bookmarkEnd w:id="392"/>
      <w:bookmarkEnd w:id="393"/>
      <w:bookmarkEnd w:id="394"/>
    </w:p>
    <w:p>
      <w:pPr>
        <w:ind w:firstLine="480"/>
      </w:pPr>
      <w:r>
        <w:t>沈阳造币有限公司彩喷机十台购置建设项目执行了环境影响评价和环境保护“三同时”制度，基本落实了环境影响报告表和环评批复提出的防治污染措施，配套建设了相应的环境保护设施并正常运行，污染物排放达到相应排放标准要求，具备了通过项目竣工环保验收的条件。</w:t>
      </w:r>
    </w:p>
    <w:p>
      <w:pPr>
        <w:ind w:firstLine="0" w:firstLineChars="0"/>
        <w:rPr>
          <w:sz w:val="21"/>
          <w:szCs w:val="21"/>
        </w:rPr>
        <w:sectPr>
          <w:footerReference r:id="rId13" w:type="default"/>
          <w:pgSz w:w="11907" w:h="16840"/>
          <w:pgMar w:top="1247" w:right="1531" w:bottom="1247" w:left="1588" w:header="851" w:footer="992" w:gutter="0"/>
          <w:cols w:space="720" w:num="1"/>
          <w:docGrid w:linePitch="312" w:charSpace="0"/>
        </w:sectPr>
      </w:pPr>
      <w:r>
        <w:br w:type="page"/>
      </w:r>
      <w:r>
        <w:rPr>
          <w:sz w:val="21"/>
          <w:szCs w:val="21"/>
        </w:rPr>
        <mc:AlternateContent>
          <mc:Choice Requires="wps">
            <w:drawing>
              <wp:anchor distT="45720" distB="45720" distL="114300" distR="114300" simplePos="0" relativeHeight="251659264" behindDoc="0" locked="0" layoutInCell="1" allowOverlap="1">
                <wp:simplePos x="0" y="0"/>
                <wp:positionH relativeFrom="margin">
                  <wp:posOffset>1513205</wp:posOffset>
                </wp:positionH>
                <wp:positionV relativeFrom="paragraph">
                  <wp:posOffset>8583930</wp:posOffset>
                </wp:positionV>
                <wp:extent cx="1939290" cy="323215"/>
                <wp:effectExtent l="0" t="0" r="0" b="635"/>
                <wp:wrapNone/>
                <wp:docPr id="7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39332" cy="323215"/>
                        </a:xfrm>
                        <a:prstGeom prst="rect">
                          <a:avLst/>
                        </a:prstGeom>
                        <a:noFill/>
                        <a:ln w="9525">
                          <a:noFill/>
                          <a:miter lim="800000"/>
                        </a:ln>
                      </wps:spPr>
                      <wps:txbx>
                        <w:txbxContent>
                          <w:p>
                            <w:pPr>
                              <w:ind w:firstLine="0" w:firstLineChars="0"/>
                            </w:pPr>
                            <w:r>
                              <w:rPr>
                                <w:b/>
                                <w:bCs/>
                                <w:szCs w:val="21"/>
                              </w:rPr>
                              <w:t>附图1  项目</w:t>
                            </w:r>
                            <w:r>
                              <w:rPr>
                                <w:rFonts w:hint="eastAsia"/>
                                <w:b/>
                                <w:bCs/>
                                <w:szCs w:val="21"/>
                              </w:rPr>
                              <w:t>地理位置</w:t>
                            </w:r>
                            <w:r>
                              <w:rPr>
                                <w:b/>
                                <w:bCs/>
                                <w:szCs w:val="21"/>
                              </w:rPr>
                              <w:t>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9.15pt;margin-top:675.9pt;height:25.45pt;width:152.7pt;mso-position-horizontal-relative:margin;z-index:251659264;mso-width-relative:page;mso-height-relative:page;" filled="f" stroked="f" coordsize="21600,21600" o:gfxdata="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1WFv2QAAAA0BAAAPAAAAAAAAAAEAIAAAACIAAABkcnMvZG93bnJldi54bWxQSwECFAAUAAAACACH&#10;TuJAnTa+niMCAAAqBAAADgAAAAAAAAABACAAAAAoAQAAZHJzL2Uyb0RvYy54bWxQSwUGAAAAAAYA&#10;BgBZAQAAvQUAAAAA&#10;">
                <v:fill on="f" focussize="0,0"/>
                <v:stroke on="f" miterlimit="8" joinstyle="miter"/>
                <v:imagedata o:title=""/>
                <o:lock v:ext="edit" aspectratio="f"/>
                <v:textbox>
                  <w:txbxContent>
                    <w:p>
                      <w:pPr>
                        <w:ind w:firstLine="0" w:firstLineChars="0"/>
                      </w:pPr>
                      <w:r>
                        <w:rPr>
                          <w:b/>
                          <w:bCs/>
                          <w:szCs w:val="21"/>
                        </w:rPr>
                        <w:t>附图1  项目</w:t>
                      </w:r>
                      <w:r>
                        <w:rPr>
                          <w:rFonts w:hint="eastAsia"/>
                          <w:b/>
                          <w:bCs/>
                          <w:szCs w:val="21"/>
                        </w:rPr>
                        <w:t>地理位置</w:t>
                      </w:r>
                      <w:r>
                        <w:rPr>
                          <w:b/>
                          <w:bCs/>
                          <w:szCs w:val="21"/>
                        </w:rPr>
                        <w:t>图</w:t>
                      </w:r>
                    </w:p>
                  </w:txbxContent>
                </v:textbox>
              </v:shape>
            </w:pict>
          </mc:Fallback>
        </mc:AlternateContent>
      </w:r>
      <w:r>
        <w:rPr>
          <w:sz w:val="21"/>
          <w:szCs w:val="20"/>
        </w:rPr>
        <mc:AlternateContent>
          <mc:Choice Requires="wps">
            <w:drawing>
              <wp:anchor distT="0" distB="0" distL="114300" distR="114300" simplePos="0" relativeHeight="251661312" behindDoc="0" locked="0" layoutInCell="1" allowOverlap="1">
                <wp:simplePos x="0" y="0"/>
                <wp:positionH relativeFrom="column">
                  <wp:posOffset>3888740</wp:posOffset>
                </wp:positionH>
                <wp:positionV relativeFrom="paragraph">
                  <wp:posOffset>5673725</wp:posOffset>
                </wp:positionV>
                <wp:extent cx="97790" cy="97790"/>
                <wp:effectExtent l="19050" t="38100" r="35560" b="35560"/>
                <wp:wrapNone/>
                <wp:docPr id="72" name="星形: 五角 72"/>
                <wp:cNvGraphicFramePr/>
                <a:graphic xmlns:a="http://schemas.openxmlformats.org/drawingml/2006/main">
                  <a:graphicData uri="http://schemas.microsoft.com/office/word/2010/wordprocessingShape">
                    <wps:wsp>
                      <wps:cNvSpPr/>
                      <wps:spPr>
                        <a:xfrm>
                          <a:off x="0" y="0"/>
                          <a:ext cx="97971" cy="97971"/>
                        </a:xfrm>
                        <a:prstGeom prst="star5">
                          <a:avLst/>
                        </a:prstGeom>
                        <a:solidFill>
                          <a:srgbClr val="FF0000">
                            <a:alpha val="39999"/>
                          </a:srgbClr>
                        </a:solidFill>
                        <a:ln w="9525" cap="flat" cmpd="sng">
                          <a:solidFill>
                            <a:sysClr val="windowText" lastClr="000000"/>
                          </a:solidFill>
                          <a:prstDash val="solid"/>
                          <a:round/>
                          <a:headEnd type="none" w="med" len="med"/>
                          <a:tailEnd type="none" w="med" len="med"/>
                        </a:ln>
                        <a:effectLst/>
                      </wps:spPr>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72" o:spid="_x0000_s1026" style="position:absolute;left:0pt;margin-left:306.2pt;margin-top:446.75pt;height:7.7pt;width:7.7pt;z-index:251661312;v-text-anchor:middle;mso-width-relative:page;mso-height-relative:page;" fillcolor="#FF0000" filled="t" stroked="t" coordsize="97971,97971" o:gfxdata="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kCSkDtwAAAALAQAADwAAAAAAAAAB&#10;ACAAAAAiAAAAZHJzL2Rvd25yZXYueG1sUEsBAhQAFAAAAAgAh07iQJRoJo23AgAAhQUAAA4AAAAA&#10;AAAAAQAgAAAAKwEAAGRycy9lMm9Eb2MueG1sUEsFBgAAAAAGAAYAWQEAAFQGAAAAAA==&#10;" path="m0,37421l37421,37421,48985,0,60549,37421,97970,37421,67695,60549,79260,97970,48985,74842,18710,97970,30275,60549xe">
                <v:path textboxrect="0,0,97971,97971" o:connectlocs="48985,0;0,37421;18710,97970;79260,97970;97970,37421" o:connectangles="247,164,82,82,0"/>
                <v:fill on="t" opacity="26213f" focussize="0,0"/>
                <v:stroke color="#000000" joinstyle="round"/>
                <v:imagedata o:title=""/>
                <o:lock v:ext="edit" aspectratio="f"/>
                <v:textbox>
                  <w:txbxContent>
                    <w:p>
                      <w:pPr>
                        <w:ind w:firstLine="480"/>
                        <w:jc w:val="center"/>
                      </w:pPr>
                    </w:p>
                  </w:txbxContent>
                </v:textbox>
              </v:shape>
            </w:pict>
          </mc:Fallback>
        </mc:AlternateContent>
      </w:r>
    </w:p>
    <w:p>
      <w:pPr>
        <w:pStyle w:val="7"/>
      </w:pPr>
      <w:bookmarkStart w:id="395" w:name="_Toc19389"/>
      <w:r>
        <w:drawing>
          <wp:anchor distT="0" distB="0" distL="114300" distR="114300" simplePos="0" relativeHeight="251662336" behindDoc="1" locked="0" layoutInCell="1" allowOverlap="1">
            <wp:simplePos x="0" y="0"/>
            <wp:positionH relativeFrom="margin">
              <wp:align>left</wp:align>
            </wp:positionH>
            <wp:positionV relativeFrom="paragraph">
              <wp:posOffset>398780</wp:posOffset>
            </wp:positionV>
            <wp:extent cx="5325745" cy="7706995"/>
            <wp:effectExtent l="0" t="0" r="8890"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325627" cy="7707005"/>
                    </a:xfrm>
                    <a:prstGeom prst="rect">
                      <a:avLst/>
                    </a:prstGeom>
                  </pic:spPr>
                </pic:pic>
              </a:graphicData>
            </a:graphic>
          </wp:anchor>
        </w:drawing>
      </w:r>
      <w:r>
        <w:rPr>
          <w:rFonts w:hint="eastAsia"/>
        </w:rPr>
        <w:t>1</w:t>
      </w:r>
      <w:r>
        <w:t xml:space="preserve">1  </w:t>
      </w:r>
      <w:r>
        <w:rPr>
          <w:rFonts w:hint="eastAsia"/>
        </w:rPr>
        <w:t>附图</w:t>
      </w:r>
      <w:bookmarkEnd w:id="395"/>
    </w:p>
    <w:p>
      <w:pPr>
        <w:ind w:firstLine="0" w:firstLineChars="0"/>
      </w:pPr>
    </w:p>
    <w:p>
      <w:pPr>
        <w:ind w:firstLine="480"/>
      </w:pPr>
    </w:p>
    <w:p>
      <w:pPr>
        <w:ind w:firstLine="480"/>
      </w:pPr>
      <w:r>
        <w:rPr>
          <w:szCs w:val="21"/>
        </w:rPr>
        <mc:AlternateContent>
          <mc:Choice Requires="wps">
            <w:drawing>
              <wp:anchor distT="45720" distB="45720" distL="114300" distR="114300" simplePos="0" relativeHeight="251663360" behindDoc="0" locked="0" layoutInCell="1" allowOverlap="1">
                <wp:simplePos x="0" y="0"/>
                <wp:positionH relativeFrom="page">
                  <wp:align>center</wp:align>
                </wp:positionH>
                <wp:positionV relativeFrom="paragraph">
                  <wp:posOffset>7295515</wp:posOffset>
                </wp:positionV>
                <wp:extent cx="1762125" cy="323215"/>
                <wp:effectExtent l="0" t="0" r="0" b="635"/>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62125" cy="323215"/>
                        </a:xfrm>
                        <a:prstGeom prst="rect">
                          <a:avLst/>
                        </a:prstGeom>
                        <a:noFill/>
                        <a:ln w="9525">
                          <a:noFill/>
                          <a:miter lim="800000"/>
                        </a:ln>
                      </wps:spPr>
                      <wps:txbx>
                        <w:txbxContent>
                          <w:p>
                            <w:pPr>
                              <w:pStyle w:val="97"/>
                            </w:pPr>
                            <w:r>
                              <w:t>附图1  项目</w:t>
                            </w:r>
                            <w:r>
                              <w:rPr>
                                <w:rFonts w:hint="eastAsia"/>
                              </w:rPr>
                              <w:t>地理位置</w:t>
                            </w:r>
                            <w:r>
                              <w:t>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574.45pt;height:25.45pt;width:138.75pt;mso-position-horizontal:center;mso-position-horizontal-relative:page;z-index:251663360;mso-width-relative:page;mso-height-relative:page;" filled="f" stroked="f" coordsize="21600,21600" o:gfxdata="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2mKZPX&#10;AAAACgEAAA8AAAAAAAAAAQAgAAAAIgAAAGRycy9kb3ducmV2LnhtbFBLAQIUABQAAAAIAIdO4kD+&#10;gzQYIQIAACkEAAAOAAAAAAAAAAEAIAAAACYBAABkcnMvZTJvRG9jLnhtbFBLBQYAAAAABgAGAFkB&#10;AAC5BQAAAAA=&#10;">
                <v:fill on="f" focussize="0,0"/>
                <v:stroke on="f" miterlimit="8" joinstyle="miter"/>
                <v:imagedata o:title=""/>
                <o:lock v:ext="edit" aspectratio="f"/>
                <v:textbox>
                  <w:txbxContent>
                    <w:p>
                      <w:pPr>
                        <w:pStyle w:val="97"/>
                      </w:pPr>
                      <w:r>
                        <w:t>附图1  项目</w:t>
                      </w:r>
                      <w:r>
                        <w:rPr>
                          <w:rFonts w:hint="eastAsia"/>
                        </w:rPr>
                        <w:t>地理位置</w:t>
                      </w:r>
                      <w:r>
                        <w:t>图</w:t>
                      </w:r>
                    </w:p>
                  </w:txbxContent>
                </v:textbox>
              </v:shape>
            </w:pict>
          </mc:Fallback>
        </mc:AlternateContent>
      </w:r>
      <w:r>
        <w:br w:type="page"/>
      </w:r>
    </w:p>
    <w:p>
      <w:pPr>
        <w:ind w:firstLine="480"/>
        <w:sectPr>
          <w:pgSz w:w="11906" w:h="16838"/>
          <w:pgMar w:top="1247" w:right="1531" w:bottom="1247" w:left="1588" w:header="851" w:footer="992" w:gutter="0"/>
          <w:cols w:space="425" w:num="1"/>
          <w:docGrid w:linePitch="326" w:charSpace="0"/>
        </w:sectPr>
      </w:pPr>
    </w:p>
    <w:p>
      <w:pPr>
        <w:spacing w:line="240" w:lineRule="auto"/>
        <w:ind w:firstLine="0" w:firstLineChars="0"/>
        <w:jc w:val="center"/>
        <w:rPr>
          <w:b/>
          <w:bCs/>
          <w:sz w:val="21"/>
          <w:szCs w:val="21"/>
        </w:rPr>
      </w:pPr>
      <w:r>
        <w:rPr>
          <w:b/>
          <w:bCs/>
          <w:sz w:val="21"/>
          <w:szCs w:val="21"/>
        </w:rPr>
        <mc:AlternateContent>
          <mc:Choice Requires="wps">
            <w:drawing>
              <wp:anchor distT="0" distB="0" distL="114300" distR="114300" simplePos="0" relativeHeight="251669504" behindDoc="0" locked="0" layoutInCell="1" allowOverlap="1">
                <wp:simplePos x="0" y="0"/>
                <wp:positionH relativeFrom="column">
                  <wp:posOffset>2668905</wp:posOffset>
                </wp:positionH>
                <wp:positionV relativeFrom="paragraph">
                  <wp:posOffset>3175</wp:posOffset>
                </wp:positionV>
                <wp:extent cx="425450" cy="841375"/>
                <wp:effectExtent l="38100" t="38100" r="31750" b="15875"/>
                <wp:wrapNone/>
                <wp:docPr id="481" name="直接箭头连接符 481"/>
                <wp:cNvGraphicFramePr/>
                <a:graphic xmlns:a="http://schemas.openxmlformats.org/drawingml/2006/main">
                  <a:graphicData uri="http://schemas.microsoft.com/office/word/2010/wordprocessingShape">
                    <wps:wsp>
                      <wps:cNvCnPr/>
                      <wps:spPr>
                        <a:xfrm flipH="1" flipV="1">
                          <a:off x="0" y="0"/>
                          <a:ext cx="425485" cy="841557"/>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flip:x y;margin-left:210.15pt;margin-top:0.25pt;height:66.25pt;width:33.5pt;z-index:251669504;mso-width-relative:page;mso-height-relative:page;" filled="f" stroked="t" coordsize="21600,21600" o:gfxdata="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bsGJa&#10;2QAAAAgBAAAPAAAAAAAAAAEAIAAAACIAAABkcnMvZG93bnJldi54bWxQSwECFAAUAAAACACHTuJA&#10;vYl4QSACAAALBAAADgAAAAAAAAABACAAAAAoAQAAZHJzL2Uyb0RvYy54bWxQSwUGAAAAAAYABgBZ&#10;AQAAugUAAAAA&#10;">
                <v:fill on="f" focussize="0,0"/>
                <v:stroke weight="0.5pt" color="#FF0000" miterlimit="8" joinstyle="miter" endarrow="block"/>
                <v:imagedata o:title=""/>
                <o:lock v:ext="edit" aspectratio="f"/>
              </v:shape>
            </w:pict>
          </mc:Fallback>
        </mc:AlternateContent>
      </w:r>
      <w:r>
        <w:rPr>
          <w:b/>
          <w:bCs/>
          <w:sz w:val="21"/>
          <w:szCs w:val="21"/>
        </w:rPr>
        <mc:AlternateContent>
          <mc:Choice Requires="wps">
            <w:drawing>
              <wp:anchor distT="0" distB="0" distL="114300" distR="114300" simplePos="0" relativeHeight="251668480" behindDoc="0" locked="0" layoutInCell="1" allowOverlap="1">
                <wp:simplePos x="0" y="0"/>
                <wp:positionH relativeFrom="column">
                  <wp:posOffset>1824990</wp:posOffset>
                </wp:positionH>
                <wp:positionV relativeFrom="paragraph">
                  <wp:posOffset>38100</wp:posOffset>
                </wp:positionV>
                <wp:extent cx="301625" cy="777240"/>
                <wp:effectExtent l="0" t="38100" r="60960" b="22860"/>
                <wp:wrapNone/>
                <wp:docPr id="459" name="直接箭头连接符 459"/>
                <wp:cNvGraphicFramePr/>
                <a:graphic xmlns:a="http://schemas.openxmlformats.org/drawingml/2006/main">
                  <a:graphicData uri="http://schemas.microsoft.com/office/word/2010/wordprocessingShape">
                    <wps:wsp>
                      <wps:cNvCnPr/>
                      <wps:spPr>
                        <a:xfrm flipV="1">
                          <a:off x="0" y="0"/>
                          <a:ext cx="301451" cy="777267"/>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flip:y;margin-left:143.7pt;margin-top:3pt;height:61.2pt;width:23.75pt;z-index:251668480;mso-width-relative:page;mso-height-relative:page;" filled="f" stroked="t" coordsize="21600,21600" o:gfxdata="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o5/bfZAAAA&#10;CQEAAA8AAAAAAAAAAQAgAAAAIgAAAGRycy9kb3ducmV2LnhtbFBLAQIUABQAAAAIAIdO4kDvJgs1&#10;HAIAAAEEAAAOAAAAAAAAAAEAIAAAACgBAABkcnMvZTJvRG9jLnhtbFBLBQYAAAAABgAGAFkBAAC2&#10;BQAAAAA=&#10;">
                <v:fill on="f" focussize="0,0"/>
                <v:stroke weight="0.5pt" color="#FF0000" miterlimit="8" joinstyle="miter" endarrow="block"/>
                <v:imagedata o:title=""/>
                <o:lock v:ext="edit" aspectratio="f"/>
              </v:shape>
            </w:pict>
          </mc:Fallback>
        </mc:AlternateContent>
      </w:r>
      <w:r>
        <w:rPr>
          <w:b/>
          <w:bCs/>
          <w:sz w:val="21"/>
          <w:szCs w:val="21"/>
        </w:rPr>
        <mc:AlternateContent>
          <mc:Choice Requires="wps">
            <w:drawing>
              <wp:anchor distT="0" distB="0" distL="114300" distR="114300" simplePos="0" relativeHeight="251679744" behindDoc="0" locked="0" layoutInCell="1" allowOverlap="1">
                <wp:simplePos x="0" y="0"/>
                <wp:positionH relativeFrom="column">
                  <wp:posOffset>4366895</wp:posOffset>
                </wp:positionH>
                <wp:positionV relativeFrom="paragraph">
                  <wp:posOffset>38100</wp:posOffset>
                </wp:positionV>
                <wp:extent cx="260985" cy="2122805"/>
                <wp:effectExtent l="0" t="38100" r="62865" b="11430"/>
                <wp:wrapNone/>
                <wp:docPr id="394" name="直接箭头连接符 394"/>
                <wp:cNvGraphicFramePr/>
                <a:graphic xmlns:a="http://schemas.openxmlformats.org/drawingml/2006/main">
                  <a:graphicData uri="http://schemas.microsoft.com/office/word/2010/wordprocessingShape">
                    <wps:wsp>
                      <wps:cNvCnPr/>
                      <wps:spPr>
                        <a:xfrm flipV="1">
                          <a:off x="0" y="0"/>
                          <a:ext cx="261257" cy="2122797"/>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flip:y;margin-left:343.85pt;margin-top:3pt;height:167.15pt;width:20.55pt;z-index:251679744;mso-width-relative:page;mso-height-relative:page;" filled="f" stroked="t" coordsize="21600,21600" o:gfxdata="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k0WBH2QAA&#10;AAkBAAAPAAAAAAAAAAEAIAAAACIAAABkcnMvZG93bnJldi54bWxQSwECFAAUAAAACACHTuJAQEyE&#10;uh0CAAACBAAADgAAAAAAAAABACAAAAAoAQAAZHJzL2Uyb0RvYy54bWxQSwUGAAAAAAYABgBZAQAA&#10;twUAAAAA&#10;">
                <v:fill on="f" focussize="0,0"/>
                <v:stroke weight="0.5pt" color="#FF0000" miterlimit="8" joinstyle="miter" endarrow="block"/>
                <v:imagedata o:title=""/>
                <o:lock v:ext="edit" aspectratio="f"/>
              </v:shape>
            </w:pict>
          </mc:Fallback>
        </mc:AlternateContent>
      </w:r>
      <w:r>
        <w:rPr>
          <w:b/>
          <w:bCs/>
          <w:sz w:val="21"/>
          <w:szCs w:val="20"/>
        </w:rPr>
        <mc:AlternateContent>
          <mc:Choice Requires="wps">
            <w:drawing>
              <wp:anchor distT="45720" distB="45720" distL="114300" distR="114300" simplePos="0" relativeHeight="251680768" behindDoc="0" locked="0" layoutInCell="1" allowOverlap="1">
                <wp:simplePos x="0" y="0"/>
                <wp:positionH relativeFrom="page">
                  <wp:posOffset>4973955</wp:posOffset>
                </wp:positionH>
                <wp:positionV relativeFrom="paragraph">
                  <wp:posOffset>-217170</wp:posOffset>
                </wp:positionV>
                <wp:extent cx="2253615" cy="450215"/>
                <wp:effectExtent l="0" t="0" r="0" b="0"/>
                <wp:wrapNone/>
                <wp:docPr id="39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53342" cy="450215"/>
                        </a:xfrm>
                        <a:prstGeom prst="rect">
                          <a:avLst/>
                        </a:prstGeom>
                        <a:noFill/>
                        <a:ln w="9525">
                          <a:noFill/>
                          <a:miter lim="800000"/>
                        </a:ln>
                      </wps:spPr>
                      <wps:txbx>
                        <w:txbxContent>
                          <w:p>
                            <w:pPr>
                              <w:ind w:firstLine="482"/>
                              <w:rPr>
                                <w:b/>
                                <w:bCs/>
                                <w:color w:val="FF0000"/>
                              </w:rPr>
                            </w:pPr>
                            <w:r>
                              <w:rPr>
                                <w:rFonts w:hint="eastAsia"/>
                                <w:b/>
                                <w:bCs/>
                                <w:color w:val="FF0000"/>
                              </w:rPr>
                              <w:t>活性炭吸附装置</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91.65pt;margin-top:-17.1pt;height:35.45pt;width:177.45pt;mso-position-horizontal-relative:page;z-index:251680768;mso-width-relative:page;mso-height-relative:page;" filled="f" stroked="f" coordsize="21600,21600" o:gfxdata="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pHKIbZAAAACwEAAA8AAAAAAAAAAQAgAAAAIgAAAGRycy9kb3ducmV2LnhtbFBLAQIUABQAAAAI&#10;AIdO4kAYuasjJQIAACsEAAAOAAAAAAAAAAEAIAAAACgBAABkcnMvZTJvRG9jLnhtbFBLBQYAAAAA&#10;BgAGAFkBAAC/BQAAAAA=&#10;">
                <v:fill on="f" focussize="0,0"/>
                <v:stroke on="f" miterlimit="8" joinstyle="miter"/>
                <v:imagedata o:title=""/>
                <o:lock v:ext="edit" aspectratio="f"/>
                <v:textbox>
                  <w:txbxContent>
                    <w:p>
                      <w:pPr>
                        <w:ind w:firstLine="482"/>
                        <w:rPr>
                          <w:b/>
                          <w:bCs/>
                          <w:color w:val="FF0000"/>
                        </w:rPr>
                      </w:pPr>
                      <w:r>
                        <w:rPr>
                          <w:rFonts w:hint="eastAsia"/>
                          <w:b/>
                          <w:bCs/>
                          <w:color w:val="FF0000"/>
                        </w:rPr>
                        <w:t>活性炭吸附装置</w:t>
                      </w:r>
                    </w:p>
                  </w:txbxContent>
                </v:textbox>
              </v:shape>
            </w:pict>
          </mc:Fallback>
        </mc:AlternateContent>
      </w:r>
      <w:r>
        <w:rPr>
          <w:b/>
          <w:bCs/>
          <w:sz w:val="21"/>
          <w:szCs w:val="20"/>
        </w:rPr>
        <mc:AlternateContent>
          <mc:Choice Requires="wps">
            <w:drawing>
              <wp:anchor distT="45720" distB="45720" distL="114300" distR="114300" simplePos="0" relativeHeight="251670528" behindDoc="0" locked="0" layoutInCell="1" allowOverlap="1">
                <wp:simplePos x="0" y="0"/>
                <wp:positionH relativeFrom="column">
                  <wp:posOffset>1464945</wp:posOffset>
                </wp:positionH>
                <wp:positionV relativeFrom="paragraph">
                  <wp:posOffset>-269875</wp:posOffset>
                </wp:positionV>
                <wp:extent cx="2415540" cy="368300"/>
                <wp:effectExtent l="0" t="0" r="0" b="0"/>
                <wp:wrapNone/>
                <wp:docPr id="48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15540" cy="367990"/>
                        </a:xfrm>
                        <a:prstGeom prst="rect">
                          <a:avLst/>
                        </a:prstGeom>
                        <a:noFill/>
                        <a:ln w="9525">
                          <a:noFill/>
                          <a:miter lim="800000"/>
                        </a:ln>
                      </wps:spPr>
                      <wps:txbx>
                        <w:txbxContent>
                          <w:p>
                            <w:pPr>
                              <w:ind w:firstLine="482"/>
                              <w:rPr>
                                <w:b/>
                                <w:bCs/>
                                <w:color w:val="FF0000"/>
                              </w:rPr>
                            </w:pPr>
                            <w:r>
                              <w:rPr>
                                <w:rFonts w:hint="eastAsia"/>
                                <w:b/>
                                <w:bCs/>
                                <w:color w:val="FF0000"/>
                              </w:rPr>
                              <w:t>密闭罩、彩喷机</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5.35pt;margin-top:-21.25pt;height:29pt;width:190.2pt;z-index:251670528;mso-width-relative:page;mso-height-relative:page;" filled="f" stroked="f" coordsize="21600,21600" o:gfxdata="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Z&#10;S6wt1wAAAAoBAAAPAAAAAAAAAAEAIAAAACIAAABkcnMvZG93bnJldi54bWxQSwECFAAUAAAACACH&#10;TuJAJbTucyUCAAArBAAADgAAAAAAAAABACAAAAAmAQAAZHJzL2Uyb0RvYy54bWxQSwUGAAAAAAYA&#10;BgBZAQAAvQUAAAAA&#10;">
                <v:fill on="f" focussize="0,0"/>
                <v:stroke on="f" miterlimit="8" joinstyle="miter"/>
                <v:imagedata o:title=""/>
                <o:lock v:ext="edit" aspectratio="f"/>
                <v:textbox>
                  <w:txbxContent>
                    <w:p>
                      <w:pPr>
                        <w:ind w:firstLine="482"/>
                        <w:rPr>
                          <w:b/>
                          <w:bCs/>
                          <w:color w:val="FF0000"/>
                        </w:rPr>
                      </w:pPr>
                      <w:r>
                        <w:rPr>
                          <w:rFonts w:hint="eastAsia"/>
                          <w:b/>
                          <w:bCs/>
                          <w:color w:val="FF0000"/>
                        </w:rPr>
                        <w:t>密闭罩、彩喷机</w:t>
                      </w:r>
                    </w:p>
                  </w:txbxContent>
                </v:textbox>
              </v:shape>
            </w:pict>
          </mc:Fallback>
        </mc:AlternateContent>
      </w:r>
      <w:r>
        <w:rPr>
          <w:sz w:val="21"/>
          <w:szCs w:val="20"/>
        </w:rPr>
        <w:drawing>
          <wp:anchor distT="0" distB="0" distL="114300" distR="114300" simplePos="0" relativeHeight="251674624" behindDoc="1" locked="0" layoutInCell="1" allowOverlap="1">
            <wp:simplePos x="0" y="0"/>
            <wp:positionH relativeFrom="margin">
              <wp:posOffset>398145</wp:posOffset>
            </wp:positionH>
            <wp:positionV relativeFrom="paragraph">
              <wp:posOffset>-84455</wp:posOffset>
            </wp:positionV>
            <wp:extent cx="7783830" cy="5667375"/>
            <wp:effectExtent l="0" t="0" r="7620" b="0"/>
            <wp:wrapNone/>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pic:cNvPicPr>
                      <a:picLocks noChangeAspect="1"/>
                    </pic:cNvPicPr>
                  </pic:nvPicPr>
                  <pic:blipFill>
                    <a:blip r:embed="rId24">
                      <a:extLst>
                        <a:ext uri="{28A0092B-C50C-407E-A947-70E740481C1C}">
                          <a14:useLocalDpi xmlns:a14="http://schemas.microsoft.com/office/drawing/2010/main" val="0"/>
                        </a:ext>
                      </a:extLst>
                    </a:blip>
                    <a:srcRect l="3168" t="1850" r="4719" b="3327"/>
                    <a:stretch>
                      <a:fillRect/>
                    </a:stretch>
                  </pic:blipFill>
                  <pic:spPr>
                    <a:xfrm>
                      <a:off x="0" y="0"/>
                      <a:ext cx="7783830" cy="5667270"/>
                    </a:xfrm>
                    <a:prstGeom prst="rect">
                      <a:avLst/>
                    </a:prstGeom>
                    <a:ln>
                      <a:noFill/>
                    </a:ln>
                  </pic:spPr>
                </pic:pic>
              </a:graphicData>
            </a:graphic>
          </wp:anchor>
        </w:drawing>
      </w:r>
      <w:r>
        <w:rPr>
          <w:sz w:val="21"/>
          <w:szCs w:val="20"/>
        </w:rPr>
        <mc:AlternateContent>
          <mc:Choice Requires="wpg">
            <w:drawing>
              <wp:anchor distT="0" distB="0" distL="114300" distR="114300" simplePos="0" relativeHeight="251665408" behindDoc="1" locked="0" layoutInCell="1" allowOverlap="1">
                <wp:simplePos x="0" y="0"/>
                <wp:positionH relativeFrom="column">
                  <wp:posOffset>8018780</wp:posOffset>
                </wp:positionH>
                <wp:positionV relativeFrom="paragraph">
                  <wp:posOffset>-266700</wp:posOffset>
                </wp:positionV>
                <wp:extent cx="343535" cy="884555"/>
                <wp:effectExtent l="0" t="3810" r="0" b="0"/>
                <wp:wrapThrough wrapText="bothSides">
                  <wp:wrapPolygon>
                    <wp:start x="21840" y="1489"/>
                    <wp:lineTo x="1477" y="1489"/>
                    <wp:lineTo x="1477" y="7536"/>
                    <wp:lineTo x="2675" y="8001"/>
                    <wp:lineTo x="20642" y="8001"/>
                    <wp:lineTo x="21840" y="7536"/>
                    <wp:lineTo x="21840" y="1489"/>
                  </wp:wrapPolygon>
                </wp:wrapThrough>
                <wp:docPr id="50" name="组合 6"/>
                <wp:cNvGraphicFramePr/>
                <a:graphic xmlns:a="http://schemas.openxmlformats.org/drawingml/2006/main">
                  <a:graphicData uri="http://schemas.microsoft.com/office/word/2010/wordprocessingGroup">
                    <wpg:wgp>
                      <wpg:cNvGrpSpPr/>
                      <wpg:grpSpPr>
                        <a:xfrm rot="16200000">
                          <a:off x="0" y="0"/>
                          <a:ext cx="343535" cy="884555"/>
                          <a:chOff x="9224" y="9854"/>
                          <a:chExt cx="342" cy="946"/>
                        </a:xfrm>
                      </wpg:grpSpPr>
                      <wps:wsp>
                        <wps:cNvPr id="52" name="AutoShape 3"/>
                        <wps:cNvCnPr>
                          <a:cxnSpLocks noChangeShapeType="1"/>
                        </wps:cNvCnPr>
                        <wps:spPr bwMode="auto">
                          <a:xfrm flipV="1">
                            <a:off x="9411" y="10131"/>
                            <a:ext cx="0" cy="669"/>
                          </a:xfrm>
                          <a:prstGeom prst="straightConnector1">
                            <a:avLst/>
                          </a:prstGeom>
                          <a:noFill/>
                          <a:ln w="19050">
                            <a:solidFill>
                              <a:srgbClr val="000000"/>
                            </a:solidFill>
                            <a:round/>
                            <a:tailEnd type="triangle" w="med" len="med"/>
                          </a:ln>
                          <a:effectLst/>
                        </wps:spPr>
                        <wps:bodyPr/>
                      </wps:wsp>
                      <wps:wsp>
                        <wps:cNvPr id="53" name="AutoShape 4"/>
                        <wps:cNvCnPr>
                          <a:cxnSpLocks noChangeShapeType="1"/>
                        </wps:cNvCnPr>
                        <wps:spPr bwMode="auto">
                          <a:xfrm>
                            <a:off x="9291" y="10545"/>
                            <a:ext cx="240" cy="0"/>
                          </a:xfrm>
                          <a:prstGeom prst="straightConnector1">
                            <a:avLst/>
                          </a:prstGeom>
                          <a:noFill/>
                          <a:ln w="25400">
                            <a:solidFill>
                              <a:srgbClr val="000000"/>
                            </a:solidFill>
                            <a:round/>
                          </a:ln>
                          <a:effectLst/>
                        </wps:spPr>
                        <wps:bodyPr/>
                      </wps:wsp>
                      <wps:wsp>
                        <wps:cNvPr id="55" name="Text Box 5"/>
                        <wps:cNvSpPr txBox="1">
                          <a:spLocks noChangeArrowheads="1"/>
                        </wps:cNvSpPr>
                        <wps:spPr bwMode="auto">
                          <a:xfrm>
                            <a:off x="9224" y="9854"/>
                            <a:ext cx="342" cy="411"/>
                          </a:xfrm>
                          <a:prstGeom prst="rect">
                            <a:avLst/>
                          </a:prstGeom>
                          <a:noFill/>
                          <a:ln>
                            <a:noFill/>
                          </a:ln>
                        </wps:spPr>
                        <wps:txbx>
                          <w:txbxContent>
                            <w:p>
                              <w:pPr>
                                <w:ind w:firstLine="482"/>
                                <w:rPr>
                                  <w:b/>
                                </w:rPr>
                              </w:pPr>
                              <w:r>
                                <w:rPr>
                                  <w:rFonts w:hint="eastAsia"/>
                                  <w:b/>
                                </w:rPr>
                                <w:t>N</w:t>
                              </w:r>
                            </w:p>
                          </w:txbxContent>
                        </wps:txbx>
                        <wps:bodyPr rot="0" vert="horz" wrap="square" lIns="91440" tIns="45720" rIns="91440" bIns="45720" anchor="t" anchorCtr="0" upright="1">
                          <a:noAutofit/>
                        </wps:bodyPr>
                      </wps:wsp>
                    </wpg:wgp>
                  </a:graphicData>
                </a:graphic>
              </wp:anchor>
            </w:drawing>
          </mc:Choice>
          <mc:Fallback>
            <w:pict>
              <v:group id="组合 6" o:spid="_x0000_s1026" o:spt="203" style="position:absolute;left:0pt;margin-left:631.4pt;margin-top:-21pt;height:69.65pt;width:27.05pt;mso-wrap-distance-left:9pt;mso-wrap-distance-right:9pt;rotation:-5898240f;z-index:-251651072;mso-width-relative:page;mso-height-relative:page;" coordorigin="9224,9854" coordsize="342,946" wrapcoords="21840 1489 1477 1489 1477 7536 2675 8001 20642 8001 21840 7536 21840 1489" o:gfxdata="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LCZLLrcAAAADAEAAA8AAAAAAAAAAQAgAAAAIgAAAGRycy9kb3ducmV2LnhtbFBLAQIUABQA&#10;AAAIAIdO4kBjFA7EewMAAFcJAAAOAAAAAAAAAAEAIAAAACsBAABkcnMvZTJvRG9jLnhtbFBLBQYA&#10;AAAABgAGAFkBAAAYBwAAAAA=&#10;">
                <o:lock v:ext="edit" aspectratio="f"/>
                <v:shape id="AutoShape 3" o:spid="_x0000_s1026" o:spt="32" type="#_x0000_t32" style="position:absolute;left:9411;top:10131;flip:y;height:669;width:0;" filled="f" stroked="t" coordsize="21600,21600" o:gfxdata="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rzQC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shape>
                <v:shape id="AutoShape 4" o:spid="_x0000_s1026" o:spt="32" type="#_x0000_t32" style="position:absolute;left:9291;top:10545;height:0;width:240;" filled="f" stroked="t" coordsize="21600,21600" o:gfxdata="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PT8bgAAADb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shape>
                <v:shape id="Text Box 5" o:spid="_x0000_s1026" o:spt="202" type="#_x0000_t202" style="position:absolute;left:9224;top:9854;height:411;width:342;"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482"/>
                          <w:rPr>
                            <w:b/>
                          </w:rPr>
                        </w:pPr>
                        <w:r>
                          <w:rPr>
                            <w:rFonts w:hint="eastAsia"/>
                            <w:b/>
                          </w:rPr>
                          <w:t>N</w:t>
                        </w:r>
                      </w:p>
                    </w:txbxContent>
                  </v:textbox>
                </v:shape>
                <w10:wrap type="through"/>
              </v:group>
            </w:pict>
          </mc:Fallback>
        </mc:AlternateContent>
      </w:r>
    </w:p>
    <w:p>
      <w:pPr>
        <w:spacing w:line="240" w:lineRule="auto"/>
        <w:ind w:firstLine="0" w:firstLineChars="0"/>
        <w:jc w:val="center"/>
        <w:rPr>
          <w:b/>
          <w:bCs/>
          <w:sz w:val="21"/>
          <w:szCs w:val="21"/>
        </w:rPr>
      </w:pPr>
    </w:p>
    <w:p>
      <w:pPr>
        <w:tabs>
          <w:tab w:val="left" w:pos="11415"/>
        </w:tabs>
        <w:spacing w:line="240" w:lineRule="auto"/>
        <w:ind w:firstLine="0" w:firstLineChars="0"/>
        <w:jc w:val="left"/>
        <w:rPr>
          <w:b/>
          <w:bCs/>
          <w:sz w:val="21"/>
          <w:szCs w:val="21"/>
        </w:rPr>
      </w:pPr>
      <w:r>
        <w:rPr>
          <w:b/>
          <w:bCs/>
          <w:sz w:val="21"/>
          <w:szCs w:val="21"/>
        </w:rPr>
        <w:tab/>
      </w: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r>
        <w:rPr>
          <w:b/>
          <w:bCs/>
          <w:sz w:val="21"/>
          <w:szCs w:val="21"/>
        </w:rPr>
        <mc:AlternateContent>
          <mc:Choice Requires="wps">
            <w:drawing>
              <wp:anchor distT="0" distB="0" distL="114300" distR="114300" simplePos="0" relativeHeight="251666432" behindDoc="0" locked="0" layoutInCell="1" allowOverlap="1">
                <wp:simplePos x="0" y="0"/>
                <wp:positionH relativeFrom="column">
                  <wp:posOffset>2935605</wp:posOffset>
                </wp:positionH>
                <wp:positionV relativeFrom="paragraph">
                  <wp:posOffset>107315</wp:posOffset>
                </wp:positionV>
                <wp:extent cx="473710" cy="2891155"/>
                <wp:effectExtent l="19050" t="19050" r="40640" b="42545"/>
                <wp:wrapNone/>
                <wp:docPr id="57" name="矩形 57"/>
                <wp:cNvGraphicFramePr/>
                <a:graphic xmlns:a="http://schemas.openxmlformats.org/drawingml/2006/main">
                  <a:graphicData uri="http://schemas.microsoft.com/office/word/2010/wordprocessingShape">
                    <wps:wsp>
                      <wps:cNvSpPr/>
                      <wps:spPr>
                        <a:xfrm>
                          <a:off x="0" y="0"/>
                          <a:ext cx="473710" cy="2891155"/>
                        </a:xfrm>
                        <a:prstGeom prst="rect">
                          <a:avLst/>
                        </a:prstGeom>
                        <a:noFill/>
                        <a:ln w="57150" cap="flat" cmpd="sng" algn="ctr">
                          <a:solidFill>
                            <a:srgbClr val="FF0000"/>
                          </a:solidFill>
                          <a:prstDash val="solid"/>
                          <a:miter lim="800000"/>
                        </a:ln>
                        <a:effectLst/>
                      </wps:spPr>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15pt;margin-top:8.45pt;height:227.65pt;width:37.3pt;z-index:251666432;v-text-anchor:middle;mso-width-relative:page;mso-height-relative:page;" filled="f" stroked="t" coordsize="21600,21600" o:gfxdata="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jhSzz1wAAAAoBAAAPAAAAAAAAAAEAIAAAACIAAABk&#10;cnMvZG93bnJldi54bWxQSwECFAAUAAAACACHTuJARYURYHkCAADmBAAADgAAAAAAAAABACAAAAAm&#10;AQAAZHJzL2Uyb0RvYy54bWxQSwUGAAAAAAYABgBZAQAAEQYAAAAA&#10;">
                <v:fill on="f" focussize="0,0"/>
                <v:stroke weight="4.5pt" color="#FF0000" miterlimit="8" joinstyle="miter"/>
                <v:imagedata o:title=""/>
                <o:lock v:ext="edit" aspectratio="f"/>
                <v:textbox>
                  <w:txbxContent>
                    <w:p>
                      <w:pPr>
                        <w:ind w:firstLine="480"/>
                        <w:jc w:val="center"/>
                      </w:pPr>
                    </w:p>
                  </w:txbxContent>
                </v:textbox>
              </v:rect>
            </w:pict>
          </mc:Fallback>
        </mc:AlternateContent>
      </w:r>
      <w:r>
        <w:rPr>
          <w:b/>
          <w:bCs/>
          <w:sz w:val="21"/>
          <w:szCs w:val="21"/>
        </w:rPr>
        <mc:AlternateContent>
          <mc:Choice Requires="wps">
            <w:drawing>
              <wp:anchor distT="0" distB="0" distL="114300" distR="114300" simplePos="0" relativeHeight="251667456" behindDoc="0" locked="0" layoutInCell="1" allowOverlap="1">
                <wp:simplePos x="0" y="0"/>
                <wp:positionH relativeFrom="column">
                  <wp:posOffset>1608455</wp:posOffset>
                </wp:positionH>
                <wp:positionV relativeFrom="paragraph">
                  <wp:posOffset>107315</wp:posOffset>
                </wp:positionV>
                <wp:extent cx="473710" cy="2891155"/>
                <wp:effectExtent l="19050" t="19050" r="40640" b="42545"/>
                <wp:wrapNone/>
                <wp:docPr id="60" name="矩形 60"/>
                <wp:cNvGraphicFramePr/>
                <a:graphic xmlns:a="http://schemas.openxmlformats.org/drawingml/2006/main">
                  <a:graphicData uri="http://schemas.microsoft.com/office/word/2010/wordprocessingShape">
                    <wps:wsp>
                      <wps:cNvSpPr/>
                      <wps:spPr>
                        <a:xfrm>
                          <a:off x="0" y="0"/>
                          <a:ext cx="473710" cy="2891155"/>
                        </a:xfrm>
                        <a:prstGeom prst="rect">
                          <a:avLst/>
                        </a:prstGeom>
                        <a:noFill/>
                        <a:ln w="57150" cap="flat" cmpd="sng" algn="ctr">
                          <a:solidFill>
                            <a:srgbClr val="FF0000"/>
                          </a:solidFill>
                          <a:prstDash val="solid"/>
                          <a:miter lim="800000"/>
                        </a:ln>
                        <a:effectLst/>
                      </wps:spPr>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65pt;margin-top:8.45pt;height:227.65pt;width:37.3pt;z-index:251667456;v-text-anchor:middle;mso-width-relative:page;mso-height-relative:page;" filled="f" stroked="t" coordsize="21600,21600" o:gfxdata="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SH9w9gAAAAKAQAADwAAAAAAAAABACAAAAAiAAAA&#10;ZHJzL2Rvd25yZXYueG1sUEsBAhQAFAAAAAgAh07iQJ3F90F5AgAA5gQAAA4AAAAAAAAAAQAgAAAA&#10;JwEAAGRycy9lMm9Eb2MueG1sUEsFBgAAAAAGAAYAWQEAABIGAAAAAA==&#10;">
                <v:fill on="f" focussize="0,0"/>
                <v:stroke weight="4.5pt" color="#FF0000" miterlimit="8" joinstyle="miter"/>
                <v:imagedata o:title=""/>
                <o:lock v:ext="edit" aspectratio="f"/>
                <v:textbox>
                  <w:txbxContent>
                    <w:p>
                      <w:pPr>
                        <w:ind w:firstLine="480"/>
                        <w:jc w:val="center"/>
                      </w:pPr>
                    </w:p>
                  </w:txbxContent>
                </v:textbox>
              </v:rect>
            </w:pict>
          </mc:Fallback>
        </mc:AlternateContent>
      </w: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tabs>
          <w:tab w:val="left" w:pos="10381"/>
        </w:tabs>
        <w:spacing w:line="240" w:lineRule="auto"/>
        <w:ind w:firstLine="0" w:firstLineChars="0"/>
        <w:jc w:val="left"/>
        <w:rPr>
          <w:b/>
          <w:bCs/>
          <w:sz w:val="21"/>
          <w:szCs w:val="21"/>
        </w:rPr>
      </w:pPr>
      <w:r>
        <w:rPr>
          <w:b/>
          <w:bCs/>
          <w:sz w:val="21"/>
          <w:szCs w:val="21"/>
        </w:rPr>
        <w:tab/>
      </w: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r>
        <w:rPr>
          <w:sz w:val="21"/>
          <w:szCs w:val="20"/>
        </w:rPr>
        <mc:AlternateContent>
          <mc:Choice Requires="wps">
            <w:drawing>
              <wp:anchor distT="0" distB="0" distL="114300" distR="114300" simplePos="0" relativeHeight="251671552" behindDoc="0" locked="0" layoutInCell="1" allowOverlap="1">
                <wp:simplePos x="0" y="0"/>
                <wp:positionH relativeFrom="column">
                  <wp:posOffset>4331335</wp:posOffset>
                </wp:positionH>
                <wp:positionV relativeFrom="paragraph">
                  <wp:posOffset>130175</wp:posOffset>
                </wp:positionV>
                <wp:extent cx="137795" cy="172085"/>
                <wp:effectExtent l="19050" t="19050" r="34290" b="37465"/>
                <wp:wrapNone/>
                <wp:docPr id="483" name="矩形 483"/>
                <wp:cNvGraphicFramePr/>
                <a:graphic xmlns:a="http://schemas.openxmlformats.org/drawingml/2006/main">
                  <a:graphicData uri="http://schemas.microsoft.com/office/word/2010/wordprocessingShape">
                    <wps:wsp>
                      <wps:cNvSpPr/>
                      <wps:spPr>
                        <a:xfrm>
                          <a:off x="0" y="0"/>
                          <a:ext cx="137483" cy="172193"/>
                        </a:xfrm>
                        <a:prstGeom prst="rect">
                          <a:avLst/>
                        </a:prstGeom>
                        <a:noFill/>
                        <a:ln w="57150" cap="flat" cmpd="sng" algn="ctr">
                          <a:solidFill>
                            <a:srgbClr val="FF0000"/>
                          </a:solidFill>
                          <a:prstDash val="solid"/>
                          <a:miter lim="800000"/>
                        </a:ln>
                        <a:effectLst/>
                      </wps:spPr>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05pt;margin-top:10.25pt;height:13.55pt;width:10.85pt;z-index:251671552;v-text-anchor:middle;mso-width-relative:page;mso-height-relative:page;" filled="f" stroked="t" coordsize="21600,21600" o:gfxdata="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bnIgdgAAAAJAQAADwAAAAAAAAABACAAAAAiAAAA&#10;ZHJzL2Rvd25yZXYueG1sUEsBAhQAFAAAAAgAh07iQHW88SN5AgAA5wQAAA4AAAAAAAAAAQAgAAAA&#10;JwEAAGRycy9lMm9Eb2MueG1sUEsFBgAAAAAGAAYAWQEAABIGAAAAAA==&#10;">
                <v:fill on="f" focussize="0,0"/>
                <v:stroke weight="4.5pt" color="#FF0000" miterlimit="8" joinstyle="miter"/>
                <v:imagedata o:title=""/>
                <o:lock v:ext="edit" aspectratio="f"/>
                <v:textbox>
                  <w:txbxContent>
                    <w:p>
                      <w:pPr>
                        <w:ind w:firstLine="480"/>
                        <w:jc w:val="center"/>
                      </w:pPr>
                    </w:p>
                  </w:txbxContent>
                </v:textbox>
              </v:rect>
            </w:pict>
          </mc:Fallback>
        </mc:AlternateContent>
      </w: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r>
        <w:rPr>
          <w:b/>
          <w:bCs/>
          <w:sz w:val="21"/>
          <w:szCs w:val="21"/>
        </w:rPr>
        <mc:AlternateContent>
          <mc:Choice Requires="wps">
            <w:drawing>
              <wp:anchor distT="0" distB="0" distL="114300" distR="114300" simplePos="0" relativeHeight="251672576" behindDoc="0" locked="0" layoutInCell="1" allowOverlap="1">
                <wp:simplePos x="0" y="0"/>
                <wp:positionH relativeFrom="column">
                  <wp:posOffset>3954780</wp:posOffset>
                </wp:positionH>
                <wp:positionV relativeFrom="paragraph">
                  <wp:posOffset>161925</wp:posOffset>
                </wp:positionV>
                <wp:extent cx="419100" cy="509270"/>
                <wp:effectExtent l="38100" t="0" r="19050" b="62230"/>
                <wp:wrapNone/>
                <wp:docPr id="484" name="直接箭头连接符 484"/>
                <wp:cNvGraphicFramePr/>
                <a:graphic xmlns:a="http://schemas.openxmlformats.org/drawingml/2006/main">
                  <a:graphicData uri="http://schemas.microsoft.com/office/word/2010/wordprocessingShape">
                    <wps:wsp>
                      <wps:cNvCnPr/>
                      <wps:spPr>
                        <a:xfrm flipH="1">
                          <a:off x="0" y="0"/>
                          <a:ext cx="419100" cy="50927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flip:x;margin-left:311.4pt;margin-top:12.75pt;height:40.1pt;width:33pt;z-index:251672576;mso-width-relative:page;mso-height-relative:page;" filled="f" stroked="t" coordsize="21600,21600" o:gfxdata="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nGcwfZAAAA&#10;CgEAAA8AAAAAAAAAAQAgAAAAIgAAAGRycy9kb3ducmV2LnhtbFBLAQIUABQAAAAIAIdO4kA2HJSs&#10;HAIAAAEEAAAOAAAAAAAAAAEAIAAAACgBAABkcnMvZTJvRG9jLnhtbFBLBQYAAAAABgAGAFkBAAC2&#10;BQAAAAA=&#10;">
                <v:fill on="f" focussize="0,0"/>
                <v:stroke weight="0.5pt" color="#FF0000" miterlimit="8" joinstyle="miter" endarrow="block"/>
                <v:imagedata o:title=""/>
                <o:lock v:ext="edit" aspectratio="f"/>
              </v:shape>
            </w:pict>
          </mc:Fallback>
        </mc:AlternateContent>
      </w:r>
      <w:r>
        <w:rPr>
          <w:sz w:val="21"/>
          <w:szCs w:val="20"/>
        </w:rPr>
        <mc:AlternateContent>
          <mc:Choice Requires="wps">
            <w:drawing>
              <wp:anchor distT="0" distB="0" distL="114300" distR="114300" simplePos="0" relativeHeight="251664384" behindDoc="0" locked="0" layoutInCell="1" allowOverlap="1">
                <wp:simplePos x="0" y="0"/>
                <wp:positionH relativeFrom="leftMargin">
                  <wp:posOffset>5408930</wp:posOffset>
                </wp:positionH>
                <wp:positionV relativeFrom="paragraph">
                  <wp:posOffset>59055</wp:posOffset>
                </wp:positionV>
                <wp:extent cx="85725" cy="85725"/>
                <wp:effectExtent l="0" t="0" r="9525" b="9525"/>
                <wp:wrapNone/>
                <wp:docPr id="439" name="椭圆 438"/>
                <wp:cNvGraphicFramePr/>
                <a:graphic xmlns:a="http://schemas.openxmlformats.org/drawingml/2006/main">
                  <a:graphicData uri="http://schemas.microsoft.com/office/word/2010/wordprocessingShape">
                    <wps:wsp>
                      <wps:cNvSpPr>
                        <a:spLocks noChangeArrowheads="1"/>
                      </wps:cNvSpPr>
                      <wps:spPr bwMode="auto">
                        <a:xfrm>
                          <a:off x="0" y="0"/>
                          <a:ext cx="85725" cy="85725"/>
                        </a:xfrm>
                        <a:prstGeom prst="ellipse">
                          <a:avLst/>
                        </a:prstGeom>
                        <a:solidFill>
                          <a:srgbClr val="FF0000"/>
                        </a:solidFill>
                        <a:ln>
                          <a:noFill/>
                        </a:ln>
                      </wps:spPr>
                      <wps:txbx>
                        <w:txbxContent>
                          <w:p>
                            <w:pPr>
                              <w:ind w:firstLine="480"/>
                              <w:jc w:val="center"/>
                            </w:pPr>
                          </w:p>
                        </w:txbxContent>
                      </wps:txbx>
                      <wps:bodyPr rot="0" vert="horz" wrap="square" lIns="91440" tIns="45720" rIns="91440" bIns="45720" anchor="t" anchorCtr="0" upright="1">
                        <a:noAutofit/>
                      </wps:bodyPr>
                    </wps:wsp>
                  </a:graphicData>
                </a:graphic>
              </wp:anchor>
            </w:drawing>
          </mc:Choice>
          <mc:Fallback>
            <w:pict>
              <v:shape id="椭圆 438" o:spid="_x0000_s1026" o:spt="3" type="#_x0000_t3" style="position:absolute;left:0pt;margin-left:425.9pt;margin-top:365.65pt;height:6.75pt;width:6.75pt;mso-position-horizontal-relative:page;mso-position-vertical-relative:page;z-index:251664384;mso-width-relative:page;mso-height-relative:page;" fillcolor="#FF0000" filled="t" stroked="f" coordsize="21600,21600" o:gfxdata="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0z4I&#10;jtgAAAAIAQAADwAAAAAAAAABACAAAAAiAAAAZHJzL2Rvd25yZXYueG1sUEsBAhQAFAAAAAgAh07i&#10;QNhlPBgiAgAANQQAAA4AAAAAAAAAAQAgAAAAJwEAAGRycy9lMm9Eb2MueG1sUEsFBgAAAAAGAAYA&#10;WQEAALsFAAAAAA==&#10;">
                <v:fill on="t" focussize="0,0"/>
                <v:stroke on="f"/>
                <v:imagedata o:title=""/>
                <o:lock v:ext="edit" aspectratio="f"/>
                <v:textbox>
                  <w:txbxContent>
                    <w:p>
                      <w:pPr>
                        <w:ind w:firstLine="480"/>
                        <w:jc w:val="center"/>
                      </w:pPr>
                    </w:p>
                  </w:txbxContent>
                </v:textbox>
              </v:shape>
            </w:pict>
          </mc:Fallback>
        </mc:AlternateContent>
      </w:r>
    </w:p>
    <w:p>
      <w:pPr>
        <w:spacing w:line="240" w:lineRule="auto"/>
        <w:ind w:firstLine="0" w:firstLineChars="0"/>
        <w:jc w:val="center"/>
        <w:rPr>
          <w:b/>
          <w:bCs/>
          <w:sz w:val="21"/>
          <w:szCs w:val="21"/>
        </w:rPr>
      </w:pPr>
      <w:r>
        <w:rPr>
          <w:sz w:val="21"/>
        </w:rPr>
        <mc:AlternateContent>
          <mc:Choice Requires="wps">
            <w:drawing>
              <wp:anchor distT="0" distB="0" distL="114300" distR="114300" simplePos="0" relativeHeight="251715584" behindDoc="0" locked="0" layoutInCell="1" allowOverlap="1">
                <wp:simplePos x="0" y="0"/>
                <wp:positionH relativeFrom="column">
                  <wp:posOffset>4533265</wp:posOffset>
                </wp:positionH>
                <wp:positionV relativeFrom="paragraph">
                  <wp:posOffset>744855</wp:posOffset>
                </wp:positionV>
                <wp:extent cx="603250" cy="321945"/>
                <wp:effectExtent l="2540" t="3810" r="3810" b="17145"/>
                <wp:wrapNone/>
                <wp:docPr id="29" name="直接箭头连接符 29"/>
                <wp:cNvGraphicFramePr/>
                <a:graphic xmlns:a="http://schemas.openxmlformats.org/drawingml/2006/main">
                  <a:graphicData uri="http://schemas.microsoft.com/office/word/2010/wordprocessingShape">
                    <wps:wsp>
                      <wps:cNvCnPr/>
                      <wps:spPr>
                        <a:xfrm flipV="1">
                          <a:off x="5298440" y="5631180"/>
                          <a:ext cx="603250" cy="32194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56.95pt;margin-top:58.65pt;height:25.35pt;width:47.5pt;z-index:251715584;mso-width-relative:page;mso-height-relative:page;" filled="f" stroked="t" coordsize="21600,21600" o:gfxdata="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g/JDj1wAAAAsBAAAPAAAAAAAA&#10;AAEAIAAAACIAAABkcnMvZG93bnJldi54bWxQSwECFAAUAAAACACHTuJAi0WekhMCAADjAwAADgAA&#10;AAAAAAABACAAAAAmAQAAZHJzL2Uyb0RvYy54bWxQSwUGAAAAAAYABgBZAQAAqwUAAAAA&#10;">
                <v:fill on="f" focussize="0,0"/>
                <v:stroke color="#FF0000 [3204]" joinstyle="round" endarrow="open"/>
                <v:imagedata o:title=""/>
                <o:lock v:ext="edit" aspectratio="f"/>
              </v:shape>
            </w:pict>
          </mc:Fallback>
        </mc:AlternateContent>
      </w:r>
    </w:p>
    <w:p>
      <w:pPr>
        <w:spacing w:line="240" w:lineRule="auto"/>
        <w:ind w:firstLine="0" w:firstLineChars="0"/>
        <w:jc w:val="center"/>
        <w:rPr>
          <w:b/>
          <w:bCs/>
          <w:sz w:val="21"/>
          <w:szCs w:val="21"/>
        </w:rPr>
      </w:pPr>
    </w:p>
    <w:p>
      <w:pPr>
        <w:tabs>
          <w:tab w:val="left" w:pos="7406"/>
        </w:tabs>
        <w:spacing w:line="240" w:lineRule="auto"/>
        <w:ind w:firstLine="0" w:firstLineChars="0"/>
        <w:jc w:val="left"/>
        <w:rPr>
          <w:b/>
          <w:bCs/>
          <w:sz w:val="21"/>
          <w:szCs w:val="21"/>
        </w:rPr>
      </w:pPr>
      <w:r>
        <w:rPr>
          <w:b/>
          <w:bCs/>
          <w:sz w:val="21"/>
          <w:szCs w:val="21"/>
        </w:rPr>
        <w:tab/>
      </w:r>
    </w:p>
    <w:p>
      <w:pPr>
        <w:spacing w:line="240" w:lineRule="auto"/>
        <w:ind w:firstLine="0" w:firstLineChars="0"/>
        <w:jc w:val="center"/>
        <w:rPr>
          <w:b/>
          <w:bCs/>
          <w:sz w:val="21"/>
          <w:szCs w:val="21"/>
        </w:rPr>
      </w:pPr>
      <w:r>
        <w:rPr>
          <w:b/>
          <w:bCs/>
          <w:sz w:val="21"/>
          <w:szCs w:val="20"/>
        </w:rPr>
        <mc:AlternateContent>
          <mc:Choice Requires="wps">
            <w:drawing>
              <wp:anchor distT="45720" distB="45720" distL="114300" distR="114300" simplePos="0" relativeHeight="251714560" behindDoc="0" locked="0" layoutInCell="1" allowOverlap="1">
                <wp:simplePos x="0" y="0"/>
                <wp:positionH relativeFrom="page">
                  <wp:posOffset>5793105</wp:posOffset>
                </wp:positionH>
                <wp:positionV relativeFrom="paragraph">
                  <wp:posOffset>134620</wp:posOffset>
                </wp:positionV>
                <wp:extent cx="2253615" cy="450215"/>
                <wp:effectExtent l="0" t="0" r="0" b="0"/>
                <wp:wrapNone/>
                <wp:docPr id="2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53615" cy="450215"/>
                        </a:xfrm>
                        <a:prstGeom prst="rect">
                          <a:avLst/>
                        </a:prstGeom>
                        <a:noFill/>
                        <a:ln w="9525">
                          <a:noFill/>
                          <a:miter lim="800000"/>
                        </a:ln>
                      </wps:spPr>
                      <wps:txbx>
                        <w:txbxContent>
                          <w:p>
                            <w:pPr>
                              <w:ind w:firstLine="482"/>
                              <w:rPr>
                                <w:b/>
                                <w:bCs/>
                                <w:color w:val="FF0000"/>
                              </w:rPr>
                            </w:pPr>
                            <w:r>
                              <w:rPr>
                                <w:rFonts w:hint="eastAsia"/>
                                <w:b/>
                                <w:bCs/>
                                <w:color w:val="FF0000"/>
                              </w:rPr>
                              <w:t>活性炭吸附装置</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56.15pt;margin-top:10.6pt;height:35.45pt;width:177.45pt;mso-position-horizontal-relative:page;z-index:251714560;mso-width-relative:page;mso-height-relative:page;" filled="f" stroked="f" coordsize="21600,21600" o:gfxdata="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hkDEDW&#10;AAAACgEAAA8AAAAAAAAAAQAgAAAAIgAAAGRycy9kb3ducmV2LnhtbFBLAQIUABQAAAAIAIdO4kD0&#10;jlToIgIAACoEAAAOAAAAAAAAAAEAIAAAACUBAABkcnMvZTJvRG9jLnhtbFBLBQYAAAAABgAGAFkB&#10;AAC5BQAAAAA=&#10;">
                <v:fill on="f" focussize="0,0"/>
                <v:stroke on="f" miterlimit="8" joinstyle="miter"/>
                <v:imagedata o:title=""/>
                <o:lock v:ext="edit" aspectratio="f"/>
                <v:textbox>
                  <w:txbxContent>
                    <w:p>
                      <w:pPr>
                        <w:ind w:firstLine="482"/>
                        <w:rPr>
                          <w:b/>
                          <w:bCs/>
                          <w:color w:val="FF0000"/>
                        </w:rPr>
                      </w:pPr>
                      <w:r>
                        <w:rPr>
                          <w:rFonts w:hint="eastAsia"/>
                          <w:b/>
                          <w:bCs/>
                          <w:color w:val="FF0000"/>
                        </w:rPr>
                        <w:t>活性炭吸附装置</w:t>
                      </w:r>
                    </w:p>
                  </w:txbxContent>
                </v:textbox>
              </v:shape>
            </w:pict>
          </mc:Fallback>
        </mc:AlternateContent>
      </w:r>
      <w:r>
        <w:rPr>
          <w:b/>
          <w:bCs/>
          <w:sz w:val="21"/>
          <w:szCs w:val="20"/>
        </w:rPr>
        <mc:AlternateContent>
          <mc:Choice Requires="wps">
            <w:drawing>
              <wp:anchor distT="45720" distB="45720" distL="114300" distR="114300" simplePos="0" relativeHeight="251673600" behindDoc="0" locked="0" layoutInCell="1" allowOverlap="1">
                <wp:simplePos x="0" y="0"/>
                <wp:positionH relativeFrom="column">
                  <wp:posOffset>3124200</wp:posOffset>
                </wp:positionH>
                <wp:positionV relativeFrom="paragraph">
                  <wp:posOffset>3175</wp:posOffset>
                </wp:positionV>
                <wp:extent cx="1202690" cy="450215"/>
                <wp:effectExtent l="0" t="0" r="0" b="0"/>
                <wp:wrapNone/>
                <wp:docPr id="48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2690" cy="450215"/>
                        </a:xfrm>
                        <a:prstGeom prst="rect">
                          <a:avLst/>
                        </a:prstGeom>
                        <a:noFill/>
                        <a:ln w="9525">
                          <a:noFill/>
                          <a:miter lim="800000"/>
                        </a:ln>
                      </wps:spPr>
                      <wps:txbx>
                        <w:txbxContent>
                          <w:p>
                            <w:pPr>
                              <w:ind w:firstLine="0" w:firstLineChars="0"/>
                              <w:rPr>
                                <w:b/>
                                <w:bCs/>
                                <w:color w:val="FF0000"/>
                              </w:rPr>
                            </w:pPr>
                            <w:r>
                              <w:rPr>
                                <w:b/>
                                <w:bCs/>
                                <w:color w:val="FF0000"/>
                              </w:rPr>
                              <w:t>22</w:t>
                            </w:r>
                            <w:r>
                              <w:rPr>
                                <w:rFonts w:hint="eastAsia"/>
                                <w:b/>
                                <w:bCs/>
                                <w:color w:val="FF0000"/>
                              </w:rPr>
                              <w:t>m排气筒</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46pt;margin-top:0.25pt;height:35.45pt;width:94.7pt;z-index:251673600;mso-width-relative:page;mso-height-relative:page;" filled="f" stroked="f" coordsize="21600,21600" o:gfxdata="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neYp3V&#10;AAAABwEAAA8AAAAAAAAAAQAgAAAAIgAAAGRycy9kb3ducmV2LnhtbFBLAQIUABQAAAAIAIdO4kCV&#10;LFtUIwIAACsEAAAOAAAAAAAAAAEAIAAAACQBAABkcnMvZTJvRG9jLnhtbFBLBQYAAAAABgAGAFkB&#10;AAC5BQAAAAA=&#10;">
                <v:fill on="f" focussize="0,0"/>
                <v:stroke on="f" miterlimit="8" joinstyle="miter"/>
                <v:imagedata o:title=""/>
                <o:lock v:ext="edit" aspectratio="f"/>
                <v:textbox>
                  <w:txbxContent>
                    <w:p>
                      <w:pPr>
                        <w:ind w:firstLine="0" w:firstLineChars="0"/>
                        <w:rPr>
                          <w:b/>
                          <w:bCs/>
                          <w:color w:val="FF0000"/>
                        </w:rPr>
                      </w:pPr>
                      <w:r>
                        <w:rPr>
                          <w:b/>
                          <w:bCs/>
                          <w:color w:val="FF0000"/>
                        </w:rPr>
                        <w:t>22</w:t>
                      </w:r>
                      <w:r>
                        <w:rPr>
                          <w:rFonts w:hint="eastAsia"/>
                          <w:b/>
                          <w:bCs/>
                          <w:color w:val="FF0000"/>
                        </w:rPr>
                        <w:t>m排气筒</w:t>
                      </w:r>
                    </w:p>
                  </w:txbxContent>
                </v:textbox>
              </v:shape>
            </w:pict>
          </mc:Fallback>
        </mc:AlternateContent>
      </w: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r>
        <w:rPr>
          <w:sz w:val="21"/>
          <w:szCs w:val="20"/>
        </w:rPr>
        <mc:AlternateContent>
          <mc:Choice Requires="wps">
            <w:drawing>
              <wp:anchor distT="0" distB="0" distL="114300" distR="114300" simplePos="0" relativeHeight="251713536" behindDoc="0" locked="0" layoutInCell="1" allowOverlap="1">
                <wp:simplePos x="0" y="0"/>
                <wp:positionH relativeFrom="column">
                  <wp:posOffset>4377690</wp:posOffset>
                </wp:positionH>
                <wp:positionV relativeFrom="paragraph">
                  <wp:posOffset>141605</wp:posOffset>
                </wp:positionV>
                <wp:extent cx="137795" cy="172085"/>
                <wp:effectExtent l="28575" t="28575" r="43180" b="46990"/>
                <wp:wrapNone/>
                <wp:docPr id="27" name="矩形 27"/>
                <wp:cNvGraphicFramePr/>
                <a:graphic xmlns:a="http://schemas.openxmlformats.org/drawingml/2006/main">
                  <a:graphicData uri="http://schemas.microsoft.com/office/word/2010/wordprocessingShape">
                    <wps:wsp>
                      <wps:cNvSpPr/>
                      <wps:spPr>
                        <a:xfrm>
                          <a:off x="0" y="0"/>
                          <a:ext cx="137795" cy="172085"/>
                        </a:xfrm>
                        <a:prstGeom prst="rect">
                          <a:avLst/>
                        </a:prstGeom>
                        <a:noFill/>
                        <a:ln w="57150" cap="flat" cmpd="sng" algn="ctr">
                          <a:solidFill>
                            <a:srgbClr val="FF0000"/>
                          </a:solidFill>
                          <a:prstDash val="solid"/>
                          <a:miter lim="800000"/>
                        </a:ln>
                        <a:effectLst/>
                      </wps:spPr>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4.7pt;margin-top:11.15pt;height:13.55pt;width:10.85pt;z-index:251713536;v-text-anchor:middle;mso-width-relative:page;mso-height-relative:page;" filled="f" stroked="t" coordsize="21600,21600" o:gfxdata="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TMSktcAAAAJAQAADwAAAAAAAAABACAAAAAiAAAA&#10;ZHJzL2Rvd25yZXYueG1sUEsBAhQAFAAAAAgAh07iQBsnYqh6AgAA5QQAAA4AAAAAAAAAAQAgAAAA&#10;JgEAAGRycy9lMm9Eb2MueG1sUEsFBgAAAAAGAAYAWQEAABIGAAAAAA==&#10;">
                <v:fill on="f" focussize="0,0"/>
                <v:stroke weight="4.5pt" color="#FF0000" miterlimit="8" joinstyle="miter"/>
                <v:imagedata o:title=""/>
                <o:lock v:ext="edit" aspectratio="f"/>
                <v:textbox>
                  <w:txbxContent>
                    <w:p>
                      <w:pPr>
                        <w:ind w:firstLine="480"/>
                        <w:jc w:val="center"/>
                      </w:pPr>
                    </w:p>
                  </w:txbxContent>
                </v:textbox>
              </v:rect>
            </w:pict>
          </mc:Fallback>
        </mc:AlternateContent>
      </w:r>
      <w:r>
        <w:rPr>
          <w:b/>
          <w:bCs/>
          <w:sz w:val="21"/>
          <w:szCs w:val="21"/>
        </w:rPr>
        <mc:AlternateContent>
          <mc:Choice Requires="wps">
            <w:drawing>
              <wp:anchor distT="0" distB="0" distL="114300" distR="114300" simplePos="0" relativeHeight="251675648" behindDoc="0" locked="0" layoutInCell="1" allowOverlap="1">
                <wp:simplePos x="0" y="0"/>
                <wp:positionH relativeFrom="column">
                  <wp:posOffset>4177665</wp:posOffset>
                </wp:positionH>
                <wp:positionV relativeFrom="paragraph">
                  <wp:posOffset>93980</wp:posOffset>
                </wp:positionV>
                <wp:extent cx="169545" cy="153670"/>
                <wp:effectExtent l="19050" t="19050" r="40005" b="36830"/>
                <wp:wrapNone/>
                <wp:docPr id="388" name="矩形 388"/>
                <wp:cNvGraphicFramePr/>
                <a:graphic xmlns:a="http://schemas.openxmlformats.org/drawingml/2006/main">
                  <a:graphicData uri="http://schemas.microsoft.com/office/word/2010/wordprocessingShape">
                    <wps:wsp>
                      <wps:cNvSpPr/>
                      <wps:spPr>
                        <a:xfrm>
                          <a:off x="0" y="0"/>
                          <a:ext cx="169545" cy="153670"/>
                        </a:xfrm>
                        <a:prstGeom prst="rect">
                          <a:avLst/>
                        </a:prstGeom>
                        <a:noFill/>
                        <a:ln w="57150" cap="flat" cmpd="sng" algn="ctr">
                          <a:solidFill>
                            <a:srgbClr val="FF0000"/>
                          </a:solidFill>
                          <a:prstDash val="solid"/>
                          <a:miter lim="800000"/>
                        </a:ln>
                        <a:effectLst/>
                      </wps:spPr>
                      <wps:txbx>
                        <w:txbxContent>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95pt;margin-top:7.4pt;height:12.1pt;width:13.35pt;z-index:251675648;v-text-anchor:middle;mso-width-relative:page;mso-height-relative:page;" filled="f" stroked="t" coordsize="21600,21600" o:gfxdata="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1y8Do9gAAAAJAQAADwAAAAAAAAABACAAAAAi&#10;AAAAZHJzL2Rvd25yZXYueG1sUEsBAhQAFAAAAAgAh07iQGR119x8AgAA5wQAAA4AAAAAAAAAAQAg&#10;AAAAJwEAAGRycy9lMm9Eb2MueG1sUEsFBgAAAAAGAAYAWQEAABUGAAAAAA==&#10;">
                <v:fill on="f" focussize="0,0"/>
                <v:stroke weight="4.5pt" color="#FF0000" miterlimit="8" joinstyle="miter"/>
                <v:imagedata o:title=""/>
                <o:lock v:ext="edit" aspectratio="f"/>
                <v:textbox>
                  <w:txbxContent>
                    <w:p>
                      <w:pPr>
                        <w:ind w:firstLine="480"/>
                        <w:jc w:val="center"/>
                      </w:pPr>
                    </w:p>
                  </w:txbxContent>
                </v:textbox>
              </v:rect>
            </w:pict>
          </mc:Fallback>
        </mc:AlternateContent>
      </w:r>
    </w:p>
    <w:p>
      <w:pPr>
        <w:spacing w:line="240" w:lineRule="auto"/>
        <w:ind w:firstLine="0" w:firstLineChars="0"/>
        <w:jc w:val="center"/>
        <w:rPr>
          <w:b/>
          <w:bCs/>
          <w:sz w:val="21"/>
          <w:szCs w:val="21"/>
        </w:rPr>
      </w:pPr>
      <w:r>
        <w:rPr>
          <w:b/>
          <w:bCs/>
          <w:sz w:val="21"/>
          <w:szCs w:val="20"/>
        </w:rPr>
        <mc:AlternateContent>
          <mc:Choice Requires="wps">
            <w:drawing>
              <wp:anchor distT="45720" distB="45720" distL="114300" distR="114300" simplePos="0" relativeHeight="251677696" behindDoc="0" locked="0" layoutInCell="1" allowOverlap="1">
                <wp:simplePos x="0" y="0"/>
                <wp:positionH relativeFrom="column">
                  <wp:posOffset>4507865</wp:posOffset>
                </wp:positionH>
                <wp:positionV relativeFrom="paragraph">
                  <wp:posOffset>127000</wp:posOffset>
                </wp:positionV>
                <wp:extent cx="1202690" cy="510540"/>
                <wp:effectExtent l="0" t="0" r="0" b="4445"/>
                <wp:wrapNone/>
                <wp:docPr id="39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2690" cy="510505"/>
                        </a:xfrm>
                        <a:prstGeom prst="rect">
                          <a:avLst/>
                        </a:prstGeom>
                        <a:noFill/>
                        <a:ln w="9525">
                          <a:noFill/>
                          <a:miter lim="800000"/>
                        </a:ln>
                      </wps:spPr>
                      <wps:txbx>
                        <w:txbxContent>
                          <w:p>
                            <w:pPr>
                              <w:adjustRightInd w:val="0"/>
                              <w:snapToGrid w:val="0"/>
                              <w:spacing w:line="240" w:lineRule="auto"/>
                              <w:ind w:firstLine="0" w:firstLineChars="0"/>
                              <w:rPr>
                                <w:b/>
                                <w:bCs/>
                                <w:color w:val="FF0000"/>
                                <w:sz w:val="21"/>
                                <w:szCs w:val="21"/>
                              </w:rPr>
                            </w:pPr>
                            <w:r>
                              <w:rPr>
                                <w:rFonts w:hint="eastAsia"/>
                                <w:b/>
                                <w:bCs/>
                                <w:color w:val="FF0000"/>
                                <w:sz w:val="21"/>
                                <w:szCs w:val="21"/>
                              </w:rPr>
                              <w:t>油墨仓库+</w:t>
                            </w:r>
                          </w:p>
                          <w:p>
                            <w:pPr>
                              <w:adjustRightInd w:val="0"/>
                              <w:snapToGrid w:val="0"/>
                              <w:spacing w:line="240" w:lineRule="auto"/>
                              <w:ind w:firstLine="0" w:firstLineChars="0"/>
                              <w:rPr>
                                <w:b/>
                                <w:bCs/>
                                <w:color w:val="FF0000"/>
                                <w:sz w:val="21"/>
                                <w:szCs w:val="21"/>
                              </w:rPr>
                            </w:pPr>
                            <w:r>
                              <w:rPr>
                                <w:rFonts w:hint="eastAsia"/>
                                <w:b/>
                                <w:bCs/>
                                <w:color w:val="FF0000"/>
                                <w:sz w:val="21"/>
                                <w:szCs w:val="21"/>
                              </w:rPr>
                              <w:t>危废暂存间</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54.95pt;margin-top:10pt;height:40.2pt;width:94.7pt;z-index:251677696;mso-width-relative:page;mso-height-relative:page;" filled="f" stroked="f" coordsize="21600,21600" o:gfxdata="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3fl2h&#10;1gAAAAoBAAAPAAAAAAAAAAEAIAAAACIAAABkcnMvZG93bnJldi54bWxQSwECFAAUAAAACACHTuJA&#10;XL6NdiMCAAArBAAADgAAAAAAAAABACAAAAAlAQAAZHJzL2Uyb0RvYy54bWxQSwUGAAAAAAYABgBZ&#10;AQAAugUAAAAA&#10;">
                <v:fill on="f" focussize="0,0"/>
                <v:stroke on="f" miterlimit="8" joinstyle="miter"/>
                <v:imagedata o:title=""/>
                <o:lock v:ext="edit" aspectratio="f"/>
                <v:textbox>
                  <w:txbxContent>
                    <w:p>
                      <w:pPr>
                        <w:adjustRightInd w:val="0"/>
                        <w:snapToGrid w:val="0"/>
                        <w:spacing w:line="240" w:lineRule="auto"/>
                        <w:ind w:firstLine="0" w:firstLineChars="0"/>
                        <w:rPr>
                          <w:b/>
                          <w:bCs/>
                          <w:color w:val="FF0000"/>
                          <w:sz w:val="21"/>
                          <w:szCs w:val="21"/>
                        </w:rPr>
                      </w:pPr>
                      <w:r>
                        <w:rPr>
                          <w:rFonts w:hint="eastAsia"/>
                          <w:b/>
                          <w:bCs/>
                          <w:color w:val="FF0000"/>
                          <w:sz w:val="21"/>
                          <w:szCs w:val="21"/>
                        </w:rPr>
                        <w:t>油墨仓库+</w:t>
                      </w:r>
                    </w:p>
                    <w:p>
                      <w:pPr>
                        <w:adjustRightInd w:val="0"/>
                        <w:snapToGrid w:val="0"/>
                        <w:spacing w:line="240" w:lineRule="auto"/>
                        <w:ind w:firstLine="0" w:firstLineChars="0"/>
                        <w:rPr>
                          <w:b/>
                          <w:bCs/>
                          <w:color w:val="FF0000"/>
                          <w:sz w:val="21"/>
                          <w:szCs w:val="21"/>
                        </w:rPr>
                      </w:pPr>
                      <w:r>
                        <w:rPr>
                          <w:rFonts w:hint="eastAsia"/>
                          <w:b/>
                          <w:bCs/>
                          <w:color w:val="FF0000"/>
                          <w:sz w:val="21"/>
                          <w:szCs w:val="21"/>
                        </w:rPr>
                        <w:t>危废暂存间</w:t>
                      </w:r>
                    </w:p>
                  </w:txbxContent>
                </v:textbox>
              </v:shape>
            </w:pict>
          </mc:Fallback>
        </mc:AlternateContent>
      </w:r>
      <w:r>
        <w:rPr>
          <w:b/>
          <w:bCs/>
          <w:sz w:val="21"/>
          <w:szCs w:val="21"/>
        </w:rPr>
        <mc:AlternateContent>
          <mc:Choice Requires="wps">
            <w:drawing>
              <wp:anchor distT="0" distB="0" distL="114300" distR="114300" simplePos="0" relativeHeight="251676672" behindDoc="0" locked="0" layoutInCell="1" allowOverlap="1">
                <wp:simplePos x="0" y="0"/>
                <wp:positionH relativeFrom="column">
                  <wp:posOffset>4176395</wp:posOffset>
                </wp:positionH>
                <wp:positionV relativeFrom="paragraph">
                  <wp:posOffset>150495</wp:posOffset>
                </wp:positionV>
                <wp:extent cx="169545" cy="153670"/>
                <wp:effectExtent l="19050" t="19050" r="40005" b="36830"/>
                <wp:wrapNone/>
                <wp:docPr id="390" name="矩形 390"/>
                <wp:cNvGraphicFramePr/>
                <a:graphic xmlns:a="http://schemas.openxmlformats.org/drawingml/2006/main">
                  <a:graphicData uri="http://schemas.microsoft.com/office/word/2010/wordprocessingShape">
                    <wps:wsp>
                      <wps:cNvSpPr/>
                      <wps:spPr>
                        <a:xfrm>
                          <a:off x="0" y="0"/>
                          <a:ext cx="169545" cy="153670"/>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85pt;margin-top:11.85pt;height:12.1pt;width:13.35pt;z-index:251676672;v-text-anchor:middle;mso-width-relative:page;mso-height-relative:page;" filled="f" stroked="t" coordsize="21600,21600" o:gfxdata="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V5k3z2QAAAAkBAAAPAAAAAAAAAAEAIAAAACIAAABkcnMv&#10;ZG93bnJldi54bWxQSwECFAAUAAAACACHTuJATk/W9nQCAADcBAAADgAAAAAAAAABACAAAAAoAQAA&#10;ZHJzL2Uyb0RvYy54bWxQSwUGAAAAAAYABgBZAQAADgYAAAAA&#10;">
                <v:fill on="f" focussize="0,0"/>
                <v:stroke weight="4.5pt" color="#FF0000" miterlimit="8" joinstyle="miter"/>
                <v:imagedata o:title=""/>
                <o:lock v:ext="edit" aspectratio="f"/>
              </v:rect>
            </w:pict>
          </mc:Fallback>
        </mc:AlternateContent>
      </w:r>
    </w:p>
    <w:p>
      <w:pPr>
        <w:spacing w:line="240" w:lineRule="auto"/>
        <w:ind w:firstLine="0" w:firstLineChars="0"/>
        <w:jc w:val="center"/>
        <w:rPr>
          <w:b/>
          <w:bCs/>
          <w:sz w:val="21"/>
          <w:szCs w:val="21"/>
        </w:rPr>
      </w:pPr>
    </w:p>
    <w:p>
      <w:pPr>
        <w:spacing w:line="240" w:lineRule="auto"/>
        <w:ind w:firstLine="0" w:firstLineChars="0"/>
        <w:jc w:val="center"/>
        <w:rPr>
          <w:b/>
          <w:bCs/>
          <w:sz w:val="21"/>
          <w:szCs w:val="21"/>
        </w:rPr>
      </w:pPr>
      <w:r>
        <w:rPr>
          <w:szCs w:val="21"/>
        </w:rPr>
        <mc:AlternateContent>
          <mc:Choice Requires="wps">
            <w:drawing>
              <wp:anchor distT="45720" distB="45720" distL="114300" distR="114300" simplePos="0" relativeHeight="251681792" behindDoc="0" locked="0" layoutInCell="1" allowOverlap="1">
                <wp:simplePos x="0" y="0"/>
                <wp:positionH relativeFrom="page">
                  <wp:align>center</wp:align>
                </wp:positionH>
                <wp:positionV relativeFrom="paragraph">
                  <wp:posOffset>412750</wp:posOffset>
                </wp:positionV>
                <wp:extent cx="1999615" cy="323215"/>
                <wp:effectExtent l="0" t="0" r="0" b="635"/>
                <wp:wrapNone/>
                <wp:docPr id="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99622" cy="323215"/>
                        </a:xfrm>
                        <a:prstGeom prst="rect">
                          <a:avLst/>
                        </a:prstGeom>
                        <a:noFill/>
                        <a:ln w="9525">
                          <a:noFill/>
                          <a:miter lim="800000"/>
                        </a:ln>
                      </wps:spPr>
                      <wps:txbx>
                        <w:txbxContent>
                          <w:p>
                            <w:pPr>
                              <w:pStyle w:val="58"/>
                            </w:pPr>
                            <w:r>
                              <w:rPr>
                                <w:rFonts w:hint="eastAsia"/>
                              </w:rPr>
                              <w:t>附图2  项目平面布置示意图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32.5pt;height:25.45pt;width:157.45pt;mso-position-horizontal:center;mso-position-horizontal-relative:page;z-index:251681792;mso-width-relative:page;mso-height-relative:page;" filled="f" stroked="f" coordsize="21600,21600" o:gfxdata="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kA1SNUA&#10;AAAHAQAADwAAAAAAAAABACAAAAAiAAAAZHJzL2Rvd25yZXYueG1sUEsBAhQAFAAAAAgAh07iQE81&#10;cKEiAgAAKQQAAA4AAAAAAAAAAQAgAAAAJAEAAGRycy9lMm9Eb2MueG1sUEsFBgAAAAAGAAYAWQEA&#10;ALgFAAAAAA==&#10;">
                <v:fill on="f" focussize="0,0"/>
                <v:stroke on="f" miterlimit="8" joinstyle="miter"/>
                <v:imagedata o:title=""/>
                <o:lock v:ext="edit" aspectratio="f"/>
                <v:textbox>
                  <w:txbxContent>
                    <w:p>
                      <w:pPr>
                        <w:pStyle w:val="58"/>
                      </w:pPr>
                      <w:r>
                        <w:rPr>
                          <w:rFonts w:hint="eastAsia"/>
                        </w:rPr>
                        <w:t>附图2  项目平面布置示意图</w:t>
                      </w:r>
                    </w:p>
                  </w:txbxContent>
                </v:textbox>
              </v:shape>
            </w:pict>
          </mc:Fallback>
        </mc:AlternateContent>
      </w:r>
      <w:r>
        <w:rPr>
          <w:b/>
          <w:bCs/>
          <w:sz w:val="21"/>
          <w:szCs w:val="21"/>
        </w:rPr>
        <mc:AlternateContent>
          <mc:Choice Requires="wps">
            <w:drawing>
              <wp:anchor distT="0" distB="0" distL="114300" distR="114300" simplePos="0" relativeHeight="251678720" behindDoc="0" locked="0" layoutInCell="1" allowOverlap="1">
                <wp:simplePos x="0" y="0"/>
                <wp:positionH relativeFrom="column">
                  <wp:posOffset>4387850</wp:posOffset>
                </wp:positionH>
                <wp:positionV relativeFrom="paragraph">
                  <wp:posOffset>11430</wp:posOffset>
                </wp:positionV>
                <wp:extent cx="211455" cy="187960"/>
                <wp:effectExtent l="0" t="0" r="74930" b="59690"/>
                <wp:wrapNone/>
                <wp:docPr id="392" name="直接箭头连接符 392"/>
                <wp:cNvGraphicFramePr/>
                <a:graphic xmlns:a="http://schemas.openxmlformats.org/drawingml/2006/main">
                  <a:graphicData uri="http://schemas.microsoft.com/office/word/2010/wordprocessingShape">
                    <wps:wsp>
                      <wps:cNvCnPr/>
                      <wps:spPr>
                        <a:xfrm>
                          <a:off x="0" y="0"/>
                          <a:ext cx="211455" cy="18796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id="_x0000_s1026" o:spid="_x0000_s1026" o:spt="32" type="#_x0000_t32" style="position:absolute;left:0pt;margin-left:345.5pt;margin-top:0.9pt;height:14.8pt;width:16.65pt;z-index:251678720;mso-width-relative:page;mso-height-relative:page;" filled="f" stroked="t" coordsize="21600,21600" o:gfxdata="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EwePp2AAAAAgBAAAPAAAA&#10;AAAAAAEAIAAAACIAAABkcnMvZG93bnJldi54bWxQSwECFAAUAAAACACHTuJAk+T8hhUCAAD3AwAA&#10;DgAAAAAAAAABACAAAAAnAQAAZHJzL2Uyb0RvYy54bWxQSwUGAAAAAAYABgBZAQAArgUAAAAA&#10;">
                <v:fill on="f" focussize="0,0"/>
                <v:stroke weight="0.5pt" color="#FF0000" miterlimit="8" joinstyle="miter" endarrow="block"/>
                <v:imagedata o:title=""/>
                <o:lock v:ext="edit" aspectratio="f"/>
              </v:shape>
            </w:pict>
          </mc:Fallback>
        </mc:AlternateContent>
      </w:r>
    </w:p>
    <w:p>
      <w:pPr>
        <w:spacing w:line="240" w:lineRule="auto"/>
        <w:ind w:firstLine="0" w:firstLineChars="0"/>
        <w:jc w:val="right"/>
        <w:rPr>
          <w:b/>
          <w:bCs/>
          <w:sz w:val="21"/>
          <w:szCs w:val="20"/>
        </w:rPr>
      </w:pPr>
      <w:r>
        <w:rPr>
          <w:sz w:val="21"/>
          <w:szCs w:val="20"/>
        </w:rPr>
        <mc:AlternateContent>
          <mc:Choice Requires="wps">
            <w:drawing>
              <wp:anchor distT="0" distB="0" distL="114300" distR="114300" simplePos="0" relativeHeight="251694080" behindDoc="0" locked="0" layoutInCell="1" allowOverlap="1">
                <wp:simplePos x="0" y="0"/>
                <wp:positionH relativeFrom="column">
                  <wp:posOffset>2257425</wp:posOffset>
                </wp:positionH>
                <wp:positionV relativeFrom="paragraph">
                  <wp:posOffset>8255</wp:posOffset>
                </wp:positionV>
                <wp:extent cx="3514725" cy="1427480"/>
                <wp:effectExtent l="0" t="0" r="9525" b="1270"/>
                <wp:wrapNone/>
                <wp:docPr id="474" name="任意多边形 480"/>
                <wp:cNvGraphicFramePr/>
                <a:graphic xmlns:a="http://schemas.openxmlformats.org/drawingml/2006/main">
                  <a:graphicData uri="http://schemas.microsoft.com/office/word/2010/wordprocessingShape">
                    <wps:wsp>
                      <wps:cNvSpPr>
                        <a:spLocks noChangeArrowheads="1"/>
                      </wps:cNvSpPr>
                      <wps:spPr bwMode="auto">
                        <a:xfrm>
                          <a:off x="0" y="0"/>
                          <a:ext cx="3514725" cy="1427480"/>
                        </a:xfrm>
                        <a:custGeom>
                          <a:avLst/>
                          <a:gdLst>
                            <a:gd name="T0" fmla="*/ 75 w 5415"/>
                            <a:gd name="T1" fmla="*/ 2070 h 2070"/>
                            <a:gd name="T2" fmla="*/ 1800 w 5415"/>
                            <a:gd name="T3" fmla="*/ 1515 h 2070"/>
                            <a:gd name="T4" fmla="*/ 2790 w 5415"/>
                            <a:gd name="T5" fmla="*/ 1170 h 2070"/>
                            <a:gd name="T6" fmla="*/ 3090 w 5415"/>
                            <a:gd name="T7" fmla="*/ 1050 h 2070"/>
                            <a:gd name="T8" fmla="*/ 3045 w 5415"/>
                            <a:gd name="T9" fmla="*/ 645 h 2070"/>
                            <a:gd name="T10" fmla="*/ 3930 w 5415"/>
                            <a:gd name="T11" fmla="*/ 480 h 2070"/>
                            <a:gd name="T12" fmla="*/ 4275 w 5415"/>
                            <a:gd name="T13" fmla="*/ 315 h 2070"/>
                            <a:gd name="T14" fmla="*/ 5100 w 5415"/>
                            <a:gd name="T15" fmla="*/ 60 h 2070"/>
                            <a:gd name="T16" fmla="*/ 5415 w 5415"/>
                            <a:gd name="T17" fmla="*/ 0 h 2070"/>
                            <a:gd name="T18" fmla="*/ 3915 w 5415"/>
                            <a:gd name="T19" fmla="*/ 30 h 2070"/>
                            <a:gd name="T20" fmla="*/ 2550 w 5415"/>
                            <a:gd name="T21" fmla="*/ 15 h 2070"/>
                            <a:gd name="T22" fmla="*/ 1140 w 5415"/>
                            <a:gd name="T23" fmla="*/ 30 h 2070"/>
                            <a:gd name="T24" fmla="*/ 120 w 5415"/>
                            <a:gd name="T25" fmla="*/ 45 h 2070"/>
                            <a:gd name="T26" fmla="*/ 60 w 5415"/>
                            <a:gd name="T27" fmla="*/ 195 h 2070"/>
                            <a:gd name="T28" fmla="*/ 0 w 5415"/>
                            <a:gd name="T29" fmla="*/ 1425 h 2070"/>
                            <a:gd name="T30" fmla="*/ 75 w 5415"/>
                            <a:gd name="T31" fmla="*/ 2070 h 20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415" h="2070">
                              <a:moveTo>
                                <a:pt x="75" y="2070"/>
                              </a:moveTo>
                              <a:lnTo>
                                <a:pt x="1800" y="1515"/>
                              </a:lnTo>
                              <a:lnTo>
                                <a:pt x="2790" y="1170"/>
                              </a:lnTo>
                              <a:lnTo>
                                <a:pt x="3090" y="1050"/>
                              </a:lnTo>
                              <a:lnTo>
                                <a:pt x="3045" y="645"/>
                              </a:lnTo>
                              <a:lnTo>
                                <a:pt x="3930" y="480"/>
                              </a:lnTo>
                              <a:lnTo>
                                <a:pt x="4275" y="315"/>
                              </a:lnTo>
                              <a:lnTo>
                                <a:pt x="5100" y="60"/>
                              </a:lnTo>
                              <a:lnTo>
                                <a:pt x="5415" y="0"/>
                              </a:lnTo>
                              <a:lnTo>
                                <a:pt x="3915" y="30"/>
                              </a:lnTo>
                              <a:lnTo>
                                <a:pt x="2550" y="15"/>
                              </a:lnTo>
                              <a:lnTo>
                                <a:pt x="1140" y="30"/>
                              </a:lnTo>
                              <a:lnTo>
                                <a:pt x="120" y="45"/>
                              </a:lnTo>
                              <a:lnTo>
                                <a:pt x="60" y="195"/>
                              </a:lnTo>
                              <a:lnTo>
                                <a:pt x="0" y="1425"/>
                              </a:lnTo>
                              <a:lnTo>
                                <a:pt x="75" y="2070"/>
                              </a:lnTo>
                              <a:close/>
                            </a:path>
                          </a:pathLst>
                        </a:custGeom>
                        <a:solidFill>
                          <a:srgbClr val="FFFFFF"/>
                        </a:solidFill>
                        <a:ln>
                          <a:noFill/>
                        </a:ln>
                      </wps:spPr>
                      <wps:bodyPr rot="0" vert="horz" wrap="square" lIns="91440" tIns="45720" rIns="91440" bIns="45720" anchor="t" anchorCtr="0" upright="1">
                        <a:noAutofit/>
                      </wps:bodyPr>
                    </wps:wsp>
                  </a:graphicData>
                </a:graphic>
              </wp:anchor>
            </w:drawing>
          </mc:Choice>
          <mc:Fallback>
            <w:pict>
              <v:shape id="任意多边形 480" o:spid="_x0000_s1026" o:spt="100" style="position:absolute;left:0pt;margin-left:177.75pt;margin-top:0.65pt;height:112.4pt;width:276.75pt;z-index:251694080;mso-width-relative:page;mso-height-relative:page;" fillcolor="#FFFFFF" filled="t" stroked="f" coordsize="5415,2070" o:gfxdata="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Afv6Os1QAAAAkBAAAPAAAAAAAAAAEAIAAAACIAAABkcnMvZG93&#10;bnJldi54bWxQSwECFAAUAAAACACHTuJAubAHm3YEAAAJDwAADgAAAAAAAAABACAAAAAkAQAAZHJz&#10;L2Uyb0RvYy54bWxQSwUGAAAAAAYABgBZAQAADAgAAAAA&#10;" path="m75,2070l1800,1515,2790,1170,3090,1050,3045,645,3930,480,4275,315,5100,60,5415,0,3915,30,2550,15,1140,30,120,45,60,195,0,1425,75,2070xe">
                <v:path o:connectlocs="48680,1427480;1168329,1044749;1810910,806836;2005632,724084;1976424,444794;2550853,331009;2774782,217225;3310267,41376;3514725,0;2541116,20688;1655133,10344;739942,20688;77888,31032;38944,134472;0,982685;48680,1427480" o:connectangles="0,0,0,0,0,0,0,0,0,0,0,0,0,0,0,0"/>
                <v:fill on="t" focussize="0,0"/>
                <v:stroke on="f"/>
                <v:imagedata o:title=""/>
                <o:lock v:ext="edit" aspectratio="f"/>
              </v:shape>
            </w:pict>
          </mc:Fallback>
        </mc:AlternateContent>
      </w:r>
      <w:r>
        <w:rPr>
          <w:sz w:val="21"/>
          <w:szCs w:val="20"/>
        </w:rPr>
        <w:drawing>
          <wp:anchor distT="0" distB="0" distL="114300" distR="114300" simplePos="0" relativeHeight="251702272" behindDoc="1" locked="0" layoutInCell="1" allowOverlap="1">
            <wp:simplePos x="0" y="0"/>
            <wp:positionH relativeFrom="page">
              <wp:posOffset>3311525</wp:posOffset>
            </wp:positionH>
            <wp:positionV relativeFrom="paragraph">
              <wp:posOffset>-635</wp:posOffset>
            </wp:positionV>
            <wp:extent cx="4199890" cy="4980940"/>
            <wp:effectExtent l="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99890" cy="4980940"/>
                    </a:xfrm>
                    <a:prstGeom prst="rect">
                      <a:avLst/>
                    </a:prstGeom>
                  </pic:spPr>
                </pic:pic>
              </a:graphicData>
            </a:graphic>
          </wp:anchor>
        </w:drawing>
      </w:r>
      <w:r>
        <w:rPr>
          <w:sz w:val="21"/>
          <w:szCs w:val="20"/>
        </w:rPr>
        <mc:AlternateContent>
          <mc:Choice Requires="wps">
            <w:drawing>
              <wp:anchor distT="0" distB="0" distL="114300" distR="114300" simplePos="0" relativeHeight="251692032" behindDoc="0" locked="0" layoutInCell="1" allowOverlap="1">
                <wp:simplePos x="0" y="0"/>
                <wp:positionH relativeFrom="column">
                  <wp:posOffset>2249805</wp:posOffset>
                </wp:positionH>
                <wp:positionV relativeFrom="paragraph">
                  <wp:posOffset>3191510</wp:posOffset>
                </wp:positionV>
                <wp:extent cx="173355" cy="163830"/>
                <wp:effectExtent l="5715" t="5715" r="1905" b="1905"/>
                <wp:wrapNone/>
                <wp:docPr id="472" name="椭圆 476"/>
                <wp:cNvGraphicFramePr/>
                <a:graphic xmlns:a="http://schemas.openxmlformats.org/drawingml/2006/main">
                  <a:graphicData uri="http://schemas.microsoft.com/office/word/2010/wordprocessingShape">
                    <wps:wsp>
                      <wps:cNvSpPr>
                        <a:spLocks noChangeArrowheads="1"/>
                      </wps:cNvSpPr>
                      <wps:spPr bwMode="auto">
                        <a:xfrm>
                          <a:off x="0" y="0"/>
                          <a:ext cx="173355" cy="163830"/>
                        </a:xfrm>
                        <a:prstGeom prst="ellipse">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shape id="椭圆 476" o:spid="_x0000_s1026" o:spt="3" type="#_x0000_t3" style="position:absolute;left:0pt;margin-left:177.15pt;margin-top:251.3pt;height:12.9pt;width:13.65pt;z-index:251692032;mso-width-relative:page;mso-height-relative:page;" fillcolor="#FFFFFF" filled="t" stroked="f" coordsize="21600,21600" o:gfxdata="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BH5&#10;LNcAAAALAQAADwAAAAAAAAABACAAAAAiAAAAZHJzL2Rvd25yZXYueG1sUEsBAhQAFAAAAAgAh07i&#10;QLVdz7QjAgAALAQAAA4AAAAAAAAAAQAgAAAAJgEAAGRycy9lMm9Eb2MueG1sUEsFBgAAAAAGAAYA&#10;WQEAALsFAAAAAA==&#10;">
                <v:fill on="t" focussize="0,0"/>
                <v:stroke on="f"/>
                <v:imagedata o:title=""/>
                <o:lock v:ext="edit" aspectratio="f"/>
              </v:shape>
            </w:pict>
          </mc:Fallback>
        </mc:AlternateContent>
      </w:r>
      <w:r>
        <w:rPr>
          <w:sz w:val="21"/>
          <w:szCs w:val="20"/>
        </w:rPr>
        <mc:AlternateContent>
          <mc:Choice Requires="wps">
            <w:drawing>
              <wp:anchor distT="0" distB="0" distL="114300" distR="114300" simplePos="0" relativeHeight="251684864" behindDoc="0" locked="0" layoutInCell="1" allowOverlap="1">
                <wp:simplePos x="0" y="0"/>
                <wp:positionH relativeFrom="column">
                  <wp:posOffset>2237740</wp:posOffset>
                </wp:positionH>
                <wp:positionV relativeFrom="paragraph">
                  <wp:posOffset>4368165</wp:posOffset>
                </wp:positionV>
                <wp:extent cx="151765" cy="123825"/>
                <wp:effectExtent l="3175" t="1270" r="6985" b="8255"/>
                <wp:wrapNone/>
                <wp:docPr id="471" name="自选图形 447"/>
                <wp:cNvGraphicFramePr/>
                <a:graphic xmlns:a="http://schemas.openxmlformats.org/drawingml/2006/main">
                  <a:graphicData uri="http://schemas.microsoft.com/office/word/2010/wordprocessingShape">
                    <wps:wsp>
                      <wps:cNvSpPr>
                        <a:spLocks noChangeArrowheads="1"/>
                      </wps:cNvSpPr>
                      <wps:spPr bwMode="auto">
                        <a:xfrm>
                          <a:off x="0" y="0"/>
                          <a:ext cx="151765" cy="123825"/>
                        </a:xfrm>
                        <a:prstGeom prst="flowChartExtract">
                          <a:avLst/>
                        </a:prstGeom>
                        <a:solidFill>
                          <a:srgbClr val="002060"/>
                        </a:solidFill>
                        <a:ln>
                          <a:noFill/>
                        </a:ln>
                      </wps:spPr>
                      <wps:txbx>
                        <w:txbxContent>
                          <w:p>
                            <w:pPr>
                              <w:ind w:firstLine="480"/>
                              <w:jc w:val="center"/>
                            </w:pPr>
                          </w:p>
                        </w:txbxContent>
                      </wps:txbx>
                      <wps:bodyPr rot="0" vert="horz" wrap="square" lIns="91440" tIns="45720" rIns="91440" bIns="45720" anchor="t" anchorCtr="0" upright="1">
                        <a:noAutofit/>
                      </wps:bodyPr>
                    </wps:wsp>
                  </a:graphicData>
                </a:graphic>
              </wp:anchor>
            </w:drawing>
          </mc:Choice>
          <mc:Fallback>
            <w:pict>
              <v:shape id="自选图形 447" o:spid="_x0000_s1026" o:spt="127" type="#_x0000_t127" style="position:absolute;left:0pt;margin-left:176.2pt;margin-top:343.95pt;height:9.75pt;width:11.95pt;z-index:251684864;mso-width-relative:page;mso-height-relative:page;" fillcolor="#002060" filled="t" stroked="f" coordsize="21600,21600" o:gfxdata="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8rPyE1wAAAAsBAAAPAAAAAAAAAAEAIAAAACIAAABkcnMvZG93&#10;bnJldi54bWxQSwECFAAUAAAACACHTuJAAZasPToCAABGBAAADgAAAAAAAAABACAAAAAmAQAAZHJz&#10;L2Uyb0RvYy54bWxQSwUGAAAAAAYABgBZAQAA0gUAAAAA&#10;">
                <v:fill on="t" focussize="0,0"/>
                <v:stroke on="f"/>
                <v:imagedata o:title=""/>
                <o:lock v:ext="edit" aspectratio="f"/>
                <v:textbox>
                  <w:txbxContent>
                    <w:p>
                      <w:pPr>
                        <w:ind w:firstLine="480"/>
                        <w:jc w:val="center"/>
                      </w:pPr>
                    </w:p>
                  </w:txbxContent>
                </v:textbox>
              </v:shape>
            </w:pict>
          </mc:Fallback>
        </mc:AlternateContent>
      </w:r>
      <w:r>
        <w:rPr>
          <w:sz w:val="21"/>
          <w:szCs w:val="20"/>
        </w:rPr>
        <mc:AlternateContent>
          <mc:Choice Requires="wps">
            <w:drawing>
              <wp:anchor distT="0" distB="0" distL="114300" distR="114300" simplePos="0" relativeHeight="251693056" behindDoc="0" locked="0" layoutInCell="1" allowOverlap="1">
                <wp:simplePos x="0" y="0"/>
                <wp:positionH relativeFrom="column">
                  <wp:posOffset>3916045</wp:posOffset>
                </wp:positionH>
                <wp:positionV relativeFrom="paragraph">
                  <wp:posOffset>744220</wp:posOffset>
                </wp:positionV>
                <wp:extent cx="147955" cy="113030"/>
                <wp:effectExtent l="5080" t="6350" r="8890" b="4445"/>
                <wp:wrapNone/>
                <wp:docPr id="470" name="椭圆 477"/>
                <wp:cNvGraphicFramePr/>
                <a:graphic xmlns:a="http://schemas.openxmlformats.org/drawingml/2006/main">
                  <a:graphicData uri="http://schemas.microsoft.com/office/word/2010/wordprocessingShape">
                    <wps:wsp>
                      <wps:cNvSpPr>
                        <a:spLocks noChangeArrowheads="1"/>
                      </wps:cNvSpPr>
                      <wps:spPr bwMode="auto">
                        <a:xfrm>
                          <a:off x="0" y="0"/>
                          <a:ext cx="147955" cy="113030"/>
                        </a:xfrm>
                        <a:prstGeom prst="ellipse">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shape id="椭圆 477" o:spid="_x0000_s1026" o:spt="3" type="#_x0000_t3" style="position:absolute;left:0pt;margin-left:308.35pt;margin-top:58.6pt;height:8.9pt;width:11.65pt;z-index:251693056;mso-width-relative:page;mso-height-relative:page;" fillcolor="#FFFFFF" filled="t" stroked="f" coordsize="21600,21600" o:gfxdata="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zE4n09YA&#10;AAALAQAADwAAAAAAAAABACAAAAAiAAAAZHJzL2Rvd25yZXYueG1sUEsBAhQAFAAAAAgAh07iQGb6&#10;bCUhAgAALAQAAA4AAAAAAAAAAQAgAAAAJQEAAGRycy9lMm9Eb2MueG1sUEsFBgAAAAAGAAYAWQEA&#10;ALgFAAAAAA==&#10;">
                <v:fill on="t" focussize="0,0"/>
                <v:stroke on="f"/>
                <v:imagedata o:title=""/>
                <o:lock v:ext="edit" aspectratio="f"/>
              </v:shape>
            </w:pict>
          </mc:Fallback>
        </mc:AlternateContent>
      </w:r>
      <w:r>
        <w:rPr>
          <w:sz w:val="21"/>
          <w:szCs w:val="20"/>
        </w:rPr>
        <mc:AlternateContent>
          <mc:Choice Requires="wps">
            <w:drawing>
              <wp:anchor distT="0" distB="0" distL="114300" distR="114300" simplePos="0" relativeHeight="251691008" behindDoc="0" locked="0" layoutInCell="1" allowOverlap="1">
                <wp:simplePos x="0" y="0"/>
                <wp:positionH relativeFrom="column">
                  <wp:posOffset>2374265</wp:posOffset>
                </wp:positionH>
                <wp:positionV relativeFrom="paragraph">
                  <wp:posOffset>3315970</wp:posOffset>
                </wp:positionV>
                <wp:extent cx="914400" cy="914400"/>
                <wp:effectExtent l="0" t="0" r="3175" b="3175"/>
                <wp:wrapNone/>
                <wp:docPr id="469" name="椭圆 475"/>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noFill/>
                        <a:ln>
                          <a:noFill/>
                        </a:ln>
                      </wps:spPr>
                      <wps:bodyPr rot="0" vert="horz" wrap="square" lIns="91440" tIns="45720" rIns="91440" bIns="45720" anchor="t" anchorCtr="0" upright="1">
                        <a:noAutofit/>
                      </wps:bodyPr>
                    </wps:wsp>
                  </a:graphicData>
                </a:graphic>
              </wp:anchor>
            </w:drawing>
          </mc:Choice>
          <mc:Fallback>
            <w:pict>
              <v:shape id="椭圆 475" o:spid="_x0000_s1026" o:spt="3" type="#_x0000_t3" style="position:absolute;left:0pt;margin-left:186.95pt;margin-top:261.1pt;height:72pt;width:72pt;z-index:251691008;mso-width-relative:page;mso-height-relative:page;" filled="f" stroked="f" coordsize="21600,21600" o:gfxdata="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QGL2gAAAAsBAAAPAAAAAAAAAAEAIAAAACIA&#10;AABkcnMvZG93bnJldi54bWxQSwECFAAUAAAACACHTuJAxO353QcCAAADBAAADgAAAAAAAAABACAA&#10;AAApAQAAZHJzL2Uyb0RvYy54bWxQSwUGAAAAAAYABgBZAQAAogUAAAAA&#10;">
                <v:fill on="f" focussize="0,0"/>
                <v:stroke on="f"/>
                <v:imagedata o:title=""/>
                <o:lock v:ext="edit" aspectratio="f"/>
              </v:shape>
            </w:pict>
          </mc:Fallback>
        </mc:AlternateContent>
      </w:r>
      <w:r>
        <w:rPr>
          <w:sz w:val="21"/>
          <w:szCs w:val="20"/>
        </w:rPr>
        <mc:AlternateContent>
          <mc:Choice Requires="wps">
            <w:drawing>
              <wp:anchor distT="0" distB="0" distL="114300" distR="114300" simplePos="0" relativeHeight="251689984" behindDoc="0" locked="0" layoutInCell="1" allowOverlap="1">
                <wp:simplePos x="0" y="0"/>
                <wp:positionH relativeFrom="column">
                  <wp:posOffset>2868295</wp:posOffset>
                </wp:positionH>
                <wp:positionV relativeFrom="paragraph">
                  <wp:posOffset>804545</wp:posOffset>
                </wp:positionV>
                <wp:extent cx="165100" cy="207645"/>
                <wp:effectExtent l="5080" t="0" r="1270" b="1905"/>
                <wp:wrapNone/>
                <wp:docPr id="462" name="椭圆 474"/>
                <wp:cNvGraphicFramePr/>
                <a:graphic xmlns:a="http://schemas.openxmlformats.org/drawingml/2006/main">
                  <a:graphicData uri="http://schemas.microsoft.com/office/word/2010/wordprocessingShape">
                    <wps:wsp>
                      <wps:cNvSpPr>
                        <a:spLocks noChangeArrowheads="1"/>
                      </wps:cNvSpPr>
                      <wps:spPr bwMode="auto">
                        <a:xfrm>
                          <a:off x="0" y="0"/>
                          <a:ext cx="165100" cy="207645"/>
                        </a:xfrm>
                        <a:prstGeom prst="ellipse">
                          <a:avLst/>
                        </a:prstGeom>
                        <a:solidFill>
                          <a:srgbClr val="FFFFFF"/>
                        </a:solidFill>
                        <a:ln>
                          <a:noFill/>
                        </a:ln>
                      </wps:spPr>
                      <wps:txbx>
                        <w:txbxContent>
                          <w:p>
                            <w:pPr>
                              <w:ind w:firstLine="480"/>
                              <w:jc w:val="center"/>
                            </w:pPr>
                          </w:p>
                        </w:txbxContent>
                      </wps:txbx>
                      <wps:bodyPr rot="0" vert="horz" wrap="square" lIns="91440" tIns="45720" rIns="91440" bIns="45720" anchor="t" anchorCtr="0" upright="1">
                        <a:noAutofit/>
                      </wps:bodyPr>
                    </wps:wsp>
                  </a:graphicData>
                </a:graphic>
              </wp:anchor>
            </w:drawing>
          </mc:Choice>
          <mc:Fallback>
            <w:pict>
              <v:shape id="椭圆 474" o:spid="_x0000_s1026" o:spt="3" type="#_x0000_t3" style="position:absolute;left:0pt;margin-left:225.85pt;margin-top:63.35pt;height:16.35pt;width:13pt;z-index:251689984;mso-width-relative:page;mso-height-relative:page;" fillcolor="#FFFFFF" filled="t" stroked="f" coordsize="21600,21600" o:gfxdata="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wjt9tcAAAALAQAADwAAAAAAAAABACAAAAAiAAAAZHJzL2Rvd25yZXYueG1sUEsBAhQAFAAAAAgA&#10;h07iQA8xWcAmAgAANwQAAA4AAAAAAAAAAQAgAAAAJgEAAGRycy9lMm9Eb2MueG1sUEsFBgAAAAAG&#10;AAYAWQEAAL4FAAAAAA==&#10;">
                <v:fill on="t" focussize="0,0"/>
                <v:stroke on="f"/>
                <v:imagedata o:title=""/>
                <o:lock v:ext="edit" aspectratio="f"/>
                <v:textbox>
                  <w:txbxContent>
                    <w:p>
                      <w:pPr>
                        <w:ind w:firstLine="480"/>
                        <w:jc w:val="center"/>
                      </w:pPr>
                    </w:p>
                  </w:txbxContent>
                </v:textbox>
              </v:shape>
            </w:pict>
          </mc:Fallback>
        </mc:AlternateContent>
      </w:r>
      <w:r>
        <w:rPr>
          <w:sz w:val="21"/>
          <w:szCs w:val="20"/>
        </w:rPr>
        <mc:AlternateContent>
          <mc:Choice Requires="wps">
            <w:drawing>
              <wp:anchor distT="0" distB="0" distL="114300" distR="114300" simplePos="0" relativeHeight="251688960" behindDoc="0" locked="0" layoutInCell="1" allowOverlap="1">
                <wp:simplePos x="0" y="0"/>
                <wp:positionH relativeFrom="column">
                  <wp:posOffset>6279515</wp:posOffset>
                </wp:positionH>
                <wp:positionV relativeFrom="paragraph">
                  <wp:posOffset>2744470</wp:posOffset>
                </wp:positionV>
                <wp:extent cx="182245" cy="190500"/>
                <wp:effectExtent l="6350" t="6350" r="1905" b="3175"/>
                <wp:wrapNone/>
                <wp:docPr id="458" name="椭圆 471"/>
                <wp:cNvGraphicFramePr/>
                <a:graphic xmlns:a="http://schemas.openxmlformats.org/drawingml/2006/main">
                  <a:graphicData uri="http://schemas.microsoft.com/office/word/2010/wordprocessingShape">
                    <wps:wsp>
                      <wps:cNvSpPr>
                        <a:spLocks noChangeArrowheads="1"/>
                      </wps:cNvSpPr>
                      <wps:spPr bwMode="auto">
                        <a:xfrm>
                          <a:off x="0" y="0"/>
                          <a:ext cx="182245" cy="190500"/>
                        </a:xfrm>
                        <a:prstGeom prst="ellipse">
                          <a:avLst/>
                        </a:prstGeom>
                        <a:solidFill>
                          <a:srgbClr val="FFFFFF"/>
                        </a:solidFill>
                        <a:ln>
                          <a:noFill/>
                        </a:ln>
                      </wps:spPr>
                      <wps:txbx>
                        <w:txbxContent>
                          <w:p>
                            <w:pPr>
                              <w:ind w:firstLine="480"/>
                              <w:jc w:val="center"/>
                            </w:pPr>
                          </w:p>
                        </w:txbxContent>
                      </wps:txbx>
                      <wps:bodyPr rot="0" vert="horz" wrap="square" lIns="91440" tIns="45720" rIns="91440" bIns="45720" anchor="t" anchorCtr="0" upright="1">
                        <a:noAutofit/>
                      </wps:bodyPr>
                    </wps:wsp>
                  </a:graphicData>
                </a:graphic>
              </wp:anchor>
            </w:drawing>
          </mc:Choice>
          <mc:Fallback>
            <w:pict>
              <v:shape id="椭圆 471" o:spid="_x0000_s1026" o:spt="3" type="#_x0000_t3" style="position:absolute;left:0pt;margin-left:494.45pt;margin-top:216.1pt;height:15pt;width:14.35pt;z-index:251688960;mso-width-relative:page;mso-height-relative:page;" fillcolor="#FFFFFF" filled="t" stroked="f" coordsize="21600,21600" o:gfxdata="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SNm1zXAAAADAEAAA8AAAAAAAAAAQAgAAAAIgAAAGRycy9kb3ducmV2LnhtbFBLAQIUABQAAAAI&#10;AIdO4kAqolmnJwIAADcEAAAOAAAAAAAAAAEAIAAAACYBAABkcnMvZTJvRG9jLnhtbFBLBQYAAAAA&#10;BgAGAFkBAAC/BQAAAAA=&#10;">
                <v:fill on="t" focussize="0,0"/>
                <v:stroke on="f"/>
                <v:imagedata o:title=""/>
                <o:lock v:ext="edit" aspectratio="f"/>
                <v:textbox>
                  <w:txbxContent>
                    <w:p>
                      <w:pPr>
                        <w:ind w:firstLine="480"/>
                        <w:jc w:val="center"/>
                      </w:pPr>
                    </w:p>
                  </w:txbxContent>
                </v:textbox>
              </v:shape>
            </w:pict>
          </mc:Fallback>
        </mc:AlternateContent>
      </w:r>
      <w:r>
        <w:rPr>
          <w:sz w:val="21"/>
          <w:szCs w:val="20"/>
        </w:rPr>
        <mc:AlternateContent>
          <mc:Choice Requires="wps">
            <w:drawing>
              <wp:anchor distT="0" distB="0" distL="114300" distR="114300" simplePos="0" relativeHeight="251687936" behindDoc="0" locked="0" layoutInCell="1" allowOverlap="1">
                <wp:simplePos x="0" y="0"/>
                <wp:positionH relativeFrom="column">
                  <wp:posOffset>1793875</wp:posOffset>
                </wp:positionH>
                <wp:positionV relativeFrom="paragraph">
                  <wp:posOffset>2493645</wp:posOffset>
                </wp:positionV>
                <wp:extent cx="242570" cy="165100"/>
                <wp:effectExtent l="6985" t="3175" r="7620" b="3175"/>
                <wp:wrapNone/>
                <wp:docPr id="457" name="椭圆 470"/>
                <wp:cNvGraphicFramePr/>
                <a:graphic xmlns:a="http://schemas.openxmlformats.org/drawingml/2006/main">
                  <a:graphicData uri="http://schemas.microsoft.com/office/word/2010/wordprocessingShape">
                    <wps:wsp>
                      <wps:cNvSpPr>
                        <a:spLocks noChangeArrowheads="1"/>
                      </wps:cNvSpPr>
                      <wps:spPr bwMode="auto">
                        <a:xfrm>
                          <a:off x="0" y="0"/>
                          <a:ext cx="242570" cy="165100"/>
                        </a:xfrm>
                        <a:prstGeom prst="ellipse">
                          <a:avLst/>
                        </a:prstGeom>
                        <a:solidFill>
                          <a:srgbClr val="FFFFFF"/>
                        </a:solidFill>
                        <a:ln>
                          <a:noFill/>
                        </a:ln>
                      </wps:spPr>
                      <wps:txbx>
                        <w:txbxContent>
                          <w:p>
                            <w:pPr>
                              <w:ind w:firstLine="480"/>
                              <w:jc w:val="center"/>
                            </w:pPr>
                          </w:p>
                        </w:txbxContent>
                      </wps:txbx>
                      <wps:bodyPr rot="0" vert="horz" wrap="square" lIns="91440" tIns="45720" rIns="91440" bIns="45720" anchor="t" anchorCtr="0" upright="1">
                        <a:noAutofit/>
                      </wps:bodyPr>
                    </wps:wsp>
                  </a:graphicData>
                </a:graphic>
              </wp:anchor>
            </w:drawing>
          </mc:Choice>
          <mc:Fallback>
            <w:pict>
              <v:shape id="椭圆 470" o:spid="_x0000_s1026" o:spt="3" type="#_x0000_t3" style="position:absolute;left:0pt;margin-left:141.25pt;margin-top:196.35pt;height:13pt;width:19.1pt;z-index:251687936;mso-width-relative:page;mso-height-relative:page;" fillcolor="#FFFFFF" filled="t" stroked="f" coordsize="21600,21600" o:gfxdata="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t&#10;1TRG1wAAAAsBAAAPAAAAAAAAAAEAIAAAACIAAABkcnMvZG93bnJldi54bWxQSwECFAAUAAAACACH&#10;TuJAg2ZSOSUCAAA3BAAADgAAAAAAAAABACAAAAAmAQAAZHJzL2Uyb0RvYy54bWxQSwUGAAAAAAYA&#10;BgBZAQAAvQUAAAAA&#10;">
                <v:fill on="t" focussize="0,0"/>
                <v:stroke on="f"/>
                <v:imagedata o:title=""/>
                <o:lock v:ext="edit" aspectratio="f"/>
                <v:textbox>
                  <w:txbxContent>
                    <w:p>
                      <w:pPr>
                        <w:ind w:firstLine="480"/>
                        <w:jc w:val="center"/>
                      </w:pPr>
                    </w:p>
                  </w:txbxContent>
                </v:textbox>
              </v:shape>
            </w:pict>
          </mc:Fallback>
        </mc:AlternateContent>
      </w:r>
      <w:r>
        <w:rPr>
          <w:sz w:val="21"/>
          <w:szCs w:val="20"/>
        </w:rPr>
        <mc:AlternateContent>
          <mc:Choice Requires="wps">
            <w:drawing>
              <wp:anchor distT="0" distB="0" distL="114300" distR="114300" simplePos="0" relativeHeight="251686912" behindDoc="0" locked="0" layoutInCell="1" allowOverlap="1">
                <wp:simplePos x="0" y="0"/>
                <wp:positionH relativeFrom="column">
                  <wp:posOffset>2149475</wp:posOffset>
                </wp:positionH>
                <wp:positionV relativeFrom="paragraph">
                  <wp:posOffset>2987040</wp:posOffset>
                </wp:positionV>
                <wp:extent cx="181610" cy="190500"/>
                <wp:effectExtent l="635" t="1270" r="8255" b="8255"/>
                <wp:wrapNone/>
                <wp:docPr id="456" name="椭圆 469"/>
                <wp:cNvGraphicFramePr/>
                <a:graphic xmlns:a="http://schemas.openxmlformats.org/drawingml/2006/main">
                  <a:graphicData uri="http://schemas.microsoft.com/office/word/2010/wordprocessingShape">
                    <wps:wsp>
                      <wps:cNvSpPr>
                        <a:spLocks noChangeArrowheads="1"/>
                      </wps:cNvSpPr>
                      <wps:spPr bwMode="auto">
                        <a:xfrm>
                          <a:off x="0" y="0"/>
                          <a:ext cx="181610" cy="190500"/>
                        </a:xfrm>
                        <a:prstGeom prst="ellipse">
                          <a:avLst/>
                        </a:prstGeom>
                        <a:solidFill>
                          <a:srgbClr val="FFFFFF"/>
                        </a:solidFill>
                        <a:ln>
                          <a:noFill/>
                        </a:ln>
                      </wps:spPr>
                      <wps:txbx>
                        <w:txbxContent>
                          <w:p>
                            <w:pPr>
                              <w:ind w:firstLine="480"/>
                              <w:jc w:val="center"/>
                            </w:pPr>
                          </w:p>
                        </w:txbxContent>
                      </wps:txbx>
                      <wps:bodyPr rot="0" vert="horz" wrap="square" lIns="91440" tIns="45720" rIns="91440" bIns="45720" anchor="t" anchorCtr="0" upright="1">
                        <a:noAutofit/>
                      </wps:bodyPr>
                    </wps:wsp>
                  </a:graphicData>
                </a:graphic>
              </wp:anchor>
            </w:drawing>
          </mc:Choice>
          <mc:Fallback>
            <w:pict>
              <v:shape id="椭圆 469" o:spid="_x0000_s1026" o:spt="3" type="#_x0000_t3" style="position:absolute;left:0pt;margin-left:169.25pt;margin-top:235.2pt;height:15pt;width:14.3pt;z-index:251686912;mso-width-relative:page;mso-height-relative:page;" fillcolor="#FFFFFF" filled="t" stroked="f" coordsize="21600,21600" o:gfxdata="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Dix4j2AAAAAsBAAAPAAAAAAAAAAEAIAAAACIAAABkcnMvZG93bnJldi54bWxQSwECFAAUAAAA&#10;CACHTuJANRiFEScCAAA3BAAADgAAAAAAAAABACAAAAAnAQAAZHJzL2Uyb0RvYy54bWxQSwUGAAAA&#10;AAYABgBZAQAAwAUAAAAA&#10;">
                <v:fill on="t" focussize="0,0"/>
                <v:stroke on="f"/>
                <v:imagedata o:title=""/>
                <o:lock v:ext="edit" aspectratio="f"/>
                <v:textbox>
                  <w:txbxContent>
                    <w:p>
                      <w:pPr>
                        <w:ind w:firstLine="480"/>
                        <w:jc w:val="center"/>
                      </w:pPr>
                    </w:p>
                  </w:txbxContent>
                </v:textbox>
              </v:shape>
            </w:pict>
          </mc:Fallback>
        </mc:AlternateContent>
      </w:r>
      <w:r>
        <w:rPr>
          <w:sz w:val="21"/>
          <w:szCs w:val="20"/>
        </w:rPr>
        <mc:AlternateContent>
          <mc:Choice Requires="wpg">
            <w:drawing>
              <wp:anchor distT="0" distB="0" distL="114300" distR="114300" simplePos="0" relativeHeight="251685888" behindDoc="0" locked="0" layoutInCell="1" allowOverlap="1">
                <wp:simplePos x="0" y="0"/>
                <wp:positionH relativeFrom="column">
                  <wp:posOffset>6979920</wp:posOffset>
                </wp:positionH>
                <wp:positionV relativeFrom="paragraph">
                  <wp:posOffset>72390</wp:posOffset>
                </wp:positionV>
                <wp:extent cx="369570" cy="424815"/>
                <wp:effectExtent l="0" t="38100" r="0" b="0"/>
                <wp:wrapNone/>
                <wp:docPr id="450" name="组合 6"/>
                <wp:cNvGraphicFramePr/>
                <a:graphic xmlns:a="http://schemas.openxmlformats.org/drawingml/2006/main">
                  <a:graphicData uri="http://schemas.microsoft.com/office/word/2010/wordprocessingGroup">
                    <wpg:wgp>
                      <wpg:cNvGrpSpPr/>
                      <wpg:grpSpPr>
                        <a:xfrm>
                          <a:off x="0" y="0"/>
                          <a:ext cx="369570" cy="424815"/>
                          <a:chOff x="8949" y="10131"/>
                          <a:chExt cx="582" cy="669"/>
                        </a:xfrm>
                      </wpg:grpSpPr>
                      <wps:wsp>
                        <wps:cNvPr id="451" name="AutoShape 3"/>
                        <wps:cNvCnPr>
                          <a:cxnSpLocks noChangeShapeType="1"/>
                        </wps:cNvCnPr>
                        <wps:spPr bwMode="auto">
                          <a:xfrm flipV="1">
                            <a:off x="9411" y="10131"/>
                            <a:ext cx="0" cy="669"/>
                          </a:xfrm>
                          <a:prstGeom prst="straightConnector1">
                            <a:avLst/>
                          </a:prstGeom>
                          <a:noFill/>
                          <a:ln w="19050">
                            <a:solidFill>
                              <a:srgbClr val="000000"/>
                            </a:solidFill>
                            <a:round/>
                            <a:tailEnd type="triangle" w="med" len="med"/>
                          </a:ln>
                          <a:effectLst/>
                        </wps:spPr>
                        <wps:bodyPr/>
                      </wps:wsp>
                      <wps:wsp>
                        <wps:cNvPr id="454" name="AutoShape 4"/>
                        <wps:cNvCnPr>
                          <a:cxnSpLocks noChangeShapeType="1"/>
                        </wps:cNvCnPr>
                        <wps:spPr bwMode="auto">
                          <a:xfrm>
                            <a:off x="9291" y="10545"/>
                            <a:ext cx="240" cy="0"/>
                          </a:xfrm>
                          <a:prstGeom prst="straightConnector1">
                            <a:avLst/>
                          </a:prstGeom>
                          <a:noFill/>
                          <a:ln w="25400">
                            <a:solidFill>
                              <a:srgbClr val="000000"/>
                            </a:solidFill>
                            <a:round/>
                          </a:ln>
                          <a:effectLst/>
                        </wps:spPr>
                        <wps:bodyPr/>
                      </wps:wsp>
                      <wps:wsp>
                        <wps:cNvPr id="455" name="Text Box 5"/>
                        <wps:cNvSpPr txBox="1">
                          <a:spLocks noChangeArrowheads="1"/>
                        </wps:cNvSpPr>
                        <wps:spPr bwMode="auto">
                          <a:xfrm>
                            <a:off x="8949" y="10389"/>
                            <a:ext cx="342" cy="411"/>
                          </a:xfrm>
                          <a:prstGeom prst="rect">
                            <a:avLst/>
                          </a:prstGeom>
                          <a:solidFill>
                            <a:srgbClr val="FFFFFF"/>
                          </a:solidFill>
                          <a:ln>
                            <a:noFill/>
                          </a:ln>
                        </wps:spPr>
                        <wps:txbx>
                          <w:txbxContent>
                            <w:p>
                              <w:pPr>
                                <w:ind w:firstLine="482"/>
                                <w:rPr>
                                  <w:b/>
                                </w:rPr>
                              </w:pPr>
                              <w:r>
                                <w:rPr>
                                  <w:rFonts w:hint="eastAsia"/>
                                  <w:b/>
                                </w:rPr>
                                <w:t>N</w:t>
                              </w:r>
                            </w:p>
                          </w:txbxContent>
                        </wps:txbx>
                        <wps:bodyPr rot="0" vert="horz" wrap="square" lIns="91440" tIns="45720" rIns="91440" bIns="45720" anchor="t" anchorCtr="0" upright="1">
                          <a:noAutofit/>
                        </wps:bodyPr>
                      </wps:wsp>
                    </wpg:wgp>
                  </a:graphicData>
                </a:graphic>
              </wp:anchor>
            </w:drawing>
          </mc:Choice>
          <mc:Fallback>
            <w:pict>
              <v:group id="组合 6" o:spid="_x0000_s1026" o:spt="203" style="position:absolute;left:0pt;margin-left:549.6pt;margin-top:5.7pt;height:33.45pt;width:29.1pt;z-index:251685888;mso-width-relative:page;mso-height-relative:page;" coordorigin="8949,10131" coordsize="582,669" o:gfxdata="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">
                <o:lock v:ext="edit" aspectratio="f"/>
                <v:shape id="AutoShape 3" o:spid="_x0000_s1026" o:spt="32" type="#_x0000_t32" style="position:absolute;left:9411;top:10131;flip:y;height:669;width:0;" filled="f" stroked="t" coordsize="21600,21600" o:gfxdata="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g3r4A&#10;AADcAAAADwAAAAAAAAABACAAAAAiAAAAZHJzL2Rvd25yZXYueG1sUEsBAhQAFAAAAAgAh07iQDMv&#10;BZ47AAAAOQAAABAAAAAAAAAAAQAgAAAADQEAAGRycy9zaGFwZXhtbC54bWxQSwUGAAAAAAYABgBb&#10;AQAAtwMAAAAA&#10;">
                  <v:fill on="f" focussize="0,0"/>
                  <v:stroke weight="1.5pt" color="#000000" joinstyle="round" endarrow="block"/>
                  <v:imagedata o:title=""/>
                  <o:lock v:ext="edit" aspectratio="f"/>
                </v:shape>
                <v:shape id="AutoShape 4" o:spid="_x0000_s1026" o:spt="32" type="#_x0000_t32" style="position:absolute;left:9291;top:10545;height:0;width:240;" filled="f" stroked="t" coordsize="21600,21600" o:gfxdata="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aEkkbgAAADcAAAA&#10;DwAAAAAAAAABACAAAAAiAAAAZHJzL2Rvd25yZXYueG1sUEsBAhQAFAAAAAgAh07iQDMvBZ47AAAA&#10;OQAAABAAAAAAAAAAAQAgAAAABwEAAGRycy9zaGFwZXhtbC54bWxQSwUGAAAAAAYABgBbAQAAsQMA&#10;AAAA&#10;">
                  <v:fill on="f" focussize="0,0"/>
                  <v:stroke weight="2pt" color="#000000" joinstyle="round"/>
                  <v:imagedata o:title=""/>
                  <o:lock v:ext="edit" aspectratio="f"/>
                </v:shape>
                <v:shape id="Text Box 5" o:spid="_x0000_s1026" o:spt="202" type="#_x0000_t202" style="position:absolute;left:8949;top:10389;height:411;width:342;" fillcolor="#FFFFFF" filled="t" stroked="f" coordsize="21600,21600" o:gfxdata="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aGedugAAANwA&#10;AAAPAAAAAAAAAAEAIAAAACIAAABkcnMvZG93bnJldi54bWxQSwECFAAUAAAACACHTuJAMy8FnjsA&#10;AAA5AAAAEAAAAAAAAAABACAAAAAJAQAAZHJzL3NoYXBleG1sLnhtbFBLBQYAAAAABgAGAFsBAACz&#10;AwAAAAA=&#10;">
                  <v:fill on="t" focussize="0,0"/>
                  <v:stroke on="f"/>
                  <v:imagedata o:title=""/>
                  <o:lock v:ext="edit" aspectratio="f"/>
                  <v:textbox>
                    <w:txbxContent>
                      <w:p>
                        <w:pPr>
                          <w:ind w:firstLine="482"/>
                          <w:rPr>
                            <w:b/>
                          </w:rPr>
                        </w:pPr>
                        <w:r>
                          <w:rPr>
                            <w:rFonts w:hint="eastAsia"/>
                            <w:b/>
                          </w:rPr>
                          <w:t>N</w:t>
                        </w:r>
                      </w:p>
                    </w:txbxContent>
                  </v:textbox>
                </v:shape>
              </v:group>
            </w:pict>
          </mc:Fallback>
        </mc:AlternateContent>
      </w:r>
      <w:r>
        <w:rPr>
          <w:sz w:val="21"/>
          <w:szCs w:val="20"/>
        </w:rPr>
        <mc:AlternateContent>
          <mc:Choice Requires="wps">
            <w:drawing>
              <wp:anchor distT="0" distB="0" distL="114300" distR="114300" simplePos="0" relativeHeight="251682816" behindDoc="0" locked="0" layoutInCell="1" allowOverlap="1">
                <wp:simplePos x="0" y="0"/>
                <wp:positionH relativeFrom="column">
                  <wp:posOffset>2042795</wp:posOffset>
                </wp:positionH>
                <wp:positionV relativeFrom="paragraph">
                  <wp:posOffset>5318125</wp:posOffset>
                </wp:positionV>
                <wp:extent cx="409575" cy="9525"/>
                <wp:effectExtent l="0" t="0" r="1270" b="1270"/>
                <wp:wrapNone/>
                <wp:docPr id="449" name="直线 434"/>
                <wp:cNvGraphicFramePr/>
                <a:graphic xmlns:a="http://schemas.openxmlformats.org/drawingml/2006/main">
                  <a:graphicData uri="http://schemas.microsoft.com/office/word/2010/wordprocessingShape">
                    <wps:wsp>
                      <wps:cNvCnPr>
                        <a:cxnSpLocks noChangeShapeType="1"/>
                      </wps:cNvCnPr>
                      <wps:spPr bwMode="auto">
                        <a:xfrm flipV="1">
                          <a:off x="0" y="0"/>
                          <a:ext cx="409575" cy="9525"/>
                        </a:xfrm>
                        <a:prstGeom prst="line">
                          <a:avLst/>
                        </a:prstGeom>
                        <a:noFill/>
                        <a:ln>
                          <a:noFill/>
                        </a:ln>
                      </wps:spPr>
                      <wps:bodyPr/>
                    </wps:wsp>
                  </a:graphicData>
                </a:graphic>
              </wp:anchor>
            </w:drawing>
          </mc:Choice>
          <mc:Fallback>
            <w:pict>
              <v:line id="直线 434" o:spid="_x0000_s1026" o:spt="20" style="position:absolute;left:0pt;flip:y;margin-left:160.85pt;margin-top:418.75pt;height:0.75pt;width:32.25pt;z-index:251682816;mso-width-relative:page;mso-height-relative:page;" filled="f" stroked="f" coordsize="21600,21600" o:gfxdata="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KR7mPaAAAACwEAAA8AAAAAAAAAAQAgAAAAIgAAAGRycy9kb3du&#10;cmV2LnhtbFBLAQIUABQAAAAIAIdO4kBYuFCpxAEAAHUDAAAOAAAAAAAAAAEAIAAAACkBAABkcnMv&#10;ZTJvRG9jLnhtbFBLBQYAAAAABgAGAFkBAABfBQAAAAA=&#10;">
                <v:fill on="f" focussize="0,0"/>
                <v:stroke on="f"/>
                <v:imagedata o:title=""/>
                <o:lock v:ext="edit" aspectratio="f"/>
              </v:line>
            </w:pict>
          </mc:Fallback>
        </mc:AlternateContent>
      </w:r>
    </w:p>
    <w:p>
      <w:pPr>
        <w:spacing w:line="240" w:lineRule="auto"/>
        <w:ind w:firstLine="0" w:firstLineChars="0"/>
        <w:rPr>
          <w:sz w:val="21"/>
          <w:szCs w:val="20"/>
        </w:rPr>
      </w:pPr>
      <w:r>
        <w:rPr>
          <w:sz w:val="21"/>
          <w:szCs w:val="20"/>
        </w:rPr>
        <mc:AlternateContent>
          <mc:Choice Requires="wps">
            <w:drawing>
              <wp:anchor distT="0" distB="0" distL="114300" distR="114300" simplePos="0" relativeHeight="251701248" behindDoc="0" locked="0" layoutInCell="1" allowOverlap="1">
                <wp:simplePos x="0" y="0"/>
                <wp:positionH relativeFrom="column">
                  <wp:posOffset>3140710</wp:posOffset>
                </wp:positionH>
                <wp:positionV relativeFrom="paragraph">
                  <wp:posOffset>120015</wp:posOffset>
                </wp:positionV>
                <wp:extent cx="1044575" cy="438150"/>
                <wp:effectExtent l="38100" t="114300" r="41910" b="114300"/>
                <wp:wrapNone/>
                <wp:docPr id="448" name="文本框 294"/>
                <wp:cNvGraphicFramePr/>
                <a:graphic xmlns:a="http://schemas.openxmlformats.org/drawingml/2006/main">
                  <a:graphicData uri="http://schemas.microsoft.com/office/word/2010/wordprocessingShape">
                    <wps:wsp>
                      <wps:cNvSpPr txBox="1">
                        <a:spLocks noChangeArrowheads="1"/>
                      </wps:cNvSpPr>
                      <wps:spPr bwMode="auto">
                        <a:xfrm rot="20820000">
                          <a:off x="0" y="0"/>
                          <a:ext cx="1044543" cy="438150"/>
                        </a:xfrm>
                        <a:prstGeom prst="rect">
                          <a:avLst/>
                        </a:prstGeom>
                        <a:solidFill>
                          <a:srgbClr val="FFFFFF"/>
                        </a:solidFill>
                        <a:ln>
                          <a:noFill/>
                        </a:ln>
                        <a:effectLst/>
                      </wps:spPr>
                      <wps:txbx>
                        <w:txbxContent>
                          <w:p>
                            <w:pPr>
                              <w:ind w:firstLine="0" w:firstLineChars="0"/>
                              <w:rPr>
                                <w:b/>
                                <w:bCs/>
                              </w:rPr>
                            </w:pPr>
                            <w:r>
                              <w:rPr>
                                <w:rFonts w:hint="eastAsia"/>
                                <w:b/>
                                <w:bCs/>
                              </w:rPr>
                              <w:t>尚品幼儿园</w:t>
                            </w:r>
                          </w:p>
                        </w:txbxContent>
                      </wps:txbx>
                      <wps:bodyPr rot="0" vert="horz" wrap="square" lIns="91440" tIns="45720" rIns="91440" bIns="45720" anchor="t" anchorCtr="0" upright="1">
                        <a:noAutofit/>
                      </wps:bodyPr>
                    </wps:wsp>
                  </a:graphicData>
                </a:graphic>
              </wp:anchor>
            </w:drawing>
          </mc:Choice>
          <mc:Fallback>
            <w:pict>
              <v:shape id="文本框 294" o:spid="_x0000_s1026" o:spt="202" type="#_x0000_t202" style="position:absolute;left:0pt;margin-left:247.3pt;margin-top:9.45pt;height:34.5pt;width:82.25pt;rotation:-851968f;z-index:251701248;mso-width-relative:page;mso-height-relative:page;" fillcolor="#FFFFFF" filled="t" stroked="f" coordsize="21600,21600" o:gfxdata="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VXQFtcAAAAJAQAADwAAAAAAAAABACAAAAAiAAAAZHJz&#10;L2Rvd25yZXYueG1sUEsBAhQAFAAAAAgAh07iQG2cCj8+AgAAXwQAAA4AAAAAAAAAAQAgAAAAJgEA&#10;AGRycy9lMm9Eb2MueG1sUEsFBgAAAAAGAAYAWQEAANYFAAAAAA==&#10;">
                <v:fill on="t" focussize="0,0"/>
                <v:stroke on="f"/>
                <v:imagedata o:title=""/>
                <o:lock v:ext="edit" aspectratio="f"/>
                <v:textbox>
                  <w:txbxContent>
                    <w:p>
                      <w:pPr>
                        <w:ind w:firstLine="0" w:firstLineChars="0"/>
                        <w:rPr>
                          <w:b/>
                          <w:bCs/>
                        </w:rPr>
                      </w:pPr>
                      <w:r>
                        <w:rPr>
                          <w:rFonts w:hint="eastAsia"/>
                          <w:b/>
                          <w:bCs/>
                        </w:rPr>
                        <w:t>尚品幼儿园</w:t>
                      </w:r>
                    </w:p>
                  </w:txbxContent>
                </v:textbox>
              </v:shape>
            </w:pict>
          </mc:Fallback>
        </mc:AlternateContent>
      </w: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r>
        <w:rPr>
          <w:sz w:val="21"/>
          <w:szCs w:val="20"/>
        </w:rPr>
        <mc:AlternateContent>
          <mc:Choice Requires="wps">
            <w:drawing>
              <wp:anchor distT="0" distB="0" distL="114300" distR="114300" simplePos="0" relativeHeight="251704320" behindDoc="0" locked="0" layoutInCell="1" allowOverlap="1">
                <wp:simplePos x="0" y="0"/>
                <wp:positionH relativeFrom="column">
                  <wp:posOffset>6478905</wp:posOffset>
                </wp:positionH>
                <wp:positionV relativeFrom="paragraph">
                  <wp:posOffset>9525</wp:posOffset>
                </wp:positionV>
                <wp:extent cx="656590" cy="396240"/>
                <wp:effectExtent l="895350" t="0" r="10160" b="880110"/>
                <wp:wrapNone/>
                <wp:docPr id="476" name="对话气泡: 矩形 476"/>
                <wp:cNvGraphicFramePr/>
                <a:graphic xmlns:a="http://schemas.openxmlformats.org/drawingml/2006/main">
                  <a:graphicData uri="http://schemas.microsoft.com/office/word/2010/wordprocessingShape">
                    <wps:wsp>
                      <wps:cNvSpPr/>
                      <wps:spPr>
                        <a:xfrm>
                          <a:off x="0" y="0"/>
                          <a:ext cx="656590" cy="396240"/>
                        </a:xfrm>
                        <a:prstGeom prst="wedgeRectCallout">
                          <a:avLst>
                            <a:gd name="adj1" fmla="val -181342"/>
                            <a:gd name="adj2" fmla="val 254081"/>
                          </a:avLst>
                        </a:prstGeom>
                        <a:noFill/>
                        <a:ln w="12700" cap="flat" cmpd="sng" algn="ctr">
                          <a:solidFill>
                            <a:srgbClr val="FF0000"/>
                          </a:solidFill>
                          <a:prstDash val="solid"/>
                          <a:miter lim="800000"/>
                        </a:ln>
                        <a:effectLst/>
                      </wps:spPr>
                      <wps:txbx>
                        <w:txbxContent>
                          <w:p>
                            <w:pPr>
                              <w:adjustRightInd w:val="0"/>
                              <w:snapToGrid w:val="0"/>
                              <w:ind w:firstLine="0" w:firstLineChars="0"/>
                              <w:jc w:val="center"/>
                              <w:rPr>
                                <w:b/>
                                <w:bCs/>
                                <w:color w:val="FF0000"/>
                              </w:rPr>
                            </w:pPr>
                            <w:r>
                              <w:rPr>
                                <w:rFonts w:hint="eastAsia"/>
                                <w:b/>
                                <w:bCs/>
                                <w:color w:val="FF0000"/>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476" o:spid="_x0000_s1026" o:spt="61" type="#_x0000_t61" style="position:absolute;left:0pt;margin-left:510.15pt;margin-top:0.75pt;height:31.2pt;width:51.7pt;z-index:251704320;v-text-anchor:middle;mso-width-relative:page;mso-height-relative:page;" filled="f" stroked="t" coordsize="21600,21600" o:gfxdata="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lENQkdgAAAAKAQAADwAAAAAA&#10;AAABACAAAAAiAAAAZHJzL2Rvd25yZXYueG1sUEsBAhQAFAAAAAgAh07iQM2NT/++AgAAVQUAAA4A&#10;AAAAAAAAAQAgAAAAJwEAAGRycy9lMm9Eb2MueG1sUEsFBgAAAAAGAAYAWQEAAFcGAAAAAA==&#10;" adj="-28370,65681">
                <v:fill on="f" focussize="0,0"/>
                <v:stroke weight="1pt" color="#FF0000" miterlimit="8" joinstyle="miter"/>
                <v:imagedata o:title=""/>
                <o:lock v:ext="edit" aspectratio="f"/>
                <v:textbox>
                  <w:txbxContent>
                    <w:p>
                      <w:pPr>
                        <w:adjustRightInd w:val="0"/>
                        <w:snapToGrid w:val="0"/>
                        <w:ind w:firstLine="0" w:firstLineChars="0"/>
                        <w:jc w:val="center"/>
                        <w:rPr>
                          <w:b/>
                          <w:bCs/>
                          <w:color w:val="FF0000"/>
                        </w:rPr>
                      </w:pPr>
                      <w:r>
                        <w:rPr>
                          <w:rFonts w:hint="eastAsia"/>
                          <w:b/>
                          <w:bCs/>
                          <w:color w:val="FF0000"/>
                        </w:rPr>
                        <w:t>本项目</w:t>
                      </w:r>
                    </w:p>
                  </w:txbxContent>
                </v:textbox>
              </v:shape>
            </w:pict>
          </mc:Fallback>
        </mc:AlternateContent>
      </w: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r>
        <w:rPr>
          <w:sz w:val="21"/>
          <w:szCs w:val="20"/>
        </w:rPr>
        <mc:AlternateContent>
          <mc:Choice Requires="wps">
            <w:drawing>
              <wp:anchor distT="0" distB="0" distL="114300" distR="114300" simplePos="0" relativeHeight="251703296" behindDoc="0" locked="0" layoutInCell="1" allowOverlap="1">
                <wp:simplePos x="0" y="0"/>
                <wp:positionH relativeFrom="column">
                  <wp:posOffset>5181600</wp:posOffset>
                </wp:positionH>
                <wp:positionV relativeFrom="paragraph">
                  <wp:posOffset>94615</wp:posOffset>
                </wp:positionV>
                <wp:extent cx="398780" cy="362585"/>
                <wp:effectExtent l="57150" t="57150" r="58420" b="57150"/>
                <wp:wrapNone/>
                <wp:docPr id="59" name="矩形 59"/>
                <wp:cNvGraphicFramePr/>
                <a:graphic xmlns:a="http://schemas.openxmlformats.org/drawingml/2006/main">
                  <a:graphicData uri="http://schemas.microsoft.com/office/word/2010/wordprocessingShape">
                    <wps:wsp>
                      <wps:cNvSpPr/>
                      <wps:spPr>
                        <a:xfrm rot="20796738">
                          <a:off x="0" y="0"/>
                          <a:ext cx="398972" cy="362310"/>
                        </a:xfrm>
                        <a:prstGeom prst="rect">
                          <a:avLst/>
                        </a:prstGeom>
                        <a:solidFill>
                          <a:srgbClr val="FF0000">
                            <a:alpha val="4902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8pt;margin-top:7.45pt;height:28.55pt;width:31.4pt;rotation:-877376f;z-index:251703296;v-text-anchor:middle;mso-width-relative:page;mso-height-relative:page;" fillcolor="#FF0000" filled="t" stroked="t" coordsize="21600,21600" o:gfxdata="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AXLv6fXAAAACQEAAA8AAAAAAAAAAQAgAAAAIgAAAGRycy9kb3ducmV2LnhtbFBLAQIU&#10;ABQAAAAIAIdO4kDcaKuEnwIAAFQFAAAOAAAAAAAAAAEAIAAAACYBAABkcnMvZTJvRG9jLnhtbFBL&#10;BQYAAAAABgAGAFkBAAA3BgAAAAA=&#10;">
                <v:fill on="t" opacity="32125f" focussize="0,0"/>
                <v:stroke weight="1pt" color="#2F528F" miterlimit="8" joinstyle="miter"/>
                <v:imagedata o:title=""/>
                <o:lock v:ext="edit" aspectratio="f"/>
              </v:rect>
            </w:pict>
          </mc:Fallback>
        </mc:AlternateContent>
      </w:r>
    </w:p>
    <w:p>
      <w:pPr>
        <w:spacing w:line="240" w:lineRule="auto"/>
        <w:ind w:firstLine="0" w:firstLineChars="0"/>
        <w:rPr>
          <w:sz w:val="21"/>
          <w:szCs w:val="20"/>
        </w:rPr>
      </w:pPr>
      <w:r>
        <w:rPr>
          <w:sz w:val="21"/>
          <w:szCs w:val="20"/>
        </w:rPr>
        <mc:AlternateContent>
          <mc:Choice Requires="wps">
            <w:drawing>
              <wp:anchor distT="0" distB="0" distL="114300" distR="114300" simplePos="0" relativeHeight="251705344" behindDoc="0" locked="0" layoutInCell="1" allowOverlap="1">
                <wp:simplePos x="0" y="0"/>
                <wp:positionH relativeFrom="column">
                  <wp:posOffset>5138420</wp:posOffset>
                </wp:positionH>
                <wp:positionV relativeFrom="paragraph">
                  <wp:posOffset>45085</wp:posOffset>
                </wp:positionV>
                <wp:extent cx="161290" cy="142875"/>
                <wp:effectExtent l="0" t="0" r="0" b="9525"/>
                <wp:wrapNone/>
                <wp:docPr id="305" name="自选图形 483"/>
                <wp:cNvGraphicFramePr/>
                <a:graphic xmlns:a="http://schemas.openxmlformats.org/drawingml/2006/main">
                  <a:graphicData uri="http://schemas.microsoft.com/office/word/2010/wordprocessingShape">
                    <wps:wsp>
                      <wps:cNvSpPr>
                        <a:spLocks noChangeArrowheads="1"/>
                      </wps:cNvSpPr>
                      <wps:spPr bwMode="auto">
                        <a:xfrm>
                          <a:off x="0" y="0"/>
                          <a:ext cx="161290" cy="142875"/>
                        </a:xfrm>
                        <a:prstGeom prst="octagon">
                          <a:avLst>
                            <a:gd name="adj" fmla="val 29287"/>
                          </a:avLst>
                        </a:prstGeom>
                        <a:solidFill>
                          <a:srgbClr val="00B050"/>
                        </a:solidFill>
                        <a:ln>
                          <a:noFill/>
                        </a:ln>
                      </wps:spPr>
                      <wps:bodyPr rot="0" vert="horz" wrap="square" lIns="91440" tIns="45720" rIns="91440" bIns="45720" anchor="t" anchorCtr="0" upright="1">
                        <a:noAutofit/>
                      </wps:bodyPr>
                    </wps:wsp>
                  </a:graphicData>
                </a:graphic>
              </wp:anchor>
            </w:drawing>
          </mc:Choice>
          <mc:Fallback>
            <w:pict>
              <v:shape id="自选图形 483" o:spid="_x0000_s1026" o:spt="10" type="#_x0000_t10" style="position:absolute;left:0pt;margin-left:404.6pt;margin-top:3.55pt;height:11.25pt;width:12.7pt;z-index:251705344;mso-width-relative:page;mso-height-relative:page;" fillcolor="#00B050" filled="t" stroked="f" coordsize="21600,21600" o:gfxdata="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mVfVdgAAAAIAQAADwAAAAAAAAABACAA&#10;AAAiAAAAZHJzL2Rvd25yZXYueG1sUEsBAhQAFAAAAAgAh07iQJv+6rRGAgAAXgQAAA4AAAAAAAAA&#10;AQAgAAAAJwEAAGRycy9lMm9Eb2MueG1sUEsFBgAAAAAGAAYAWQEAAN8FAAAAAA==&#10;" adj="6326">
                <v:fill on="t" focussize="0,0"/>
                <v:stroke on="f"/>
                <v:imagedata o:title=""/>
                <o:lock v:ext="edit" aspectratio="f"/>
              </v:shape>
            </w:pict>
          </mc:Fallback>
        </mc:AlternateContent>
      </w: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r>
        <w:rPr>
          <w:sz w:val="21"/>
          <w:szCs w:val="20"/>
        </w:rPr>
        <mc:AlternateContent>
          <mc:Choice Requires="wps">
            <w:drawing>
              <wp:anchor distT="0" distB="0" distL="114300" distR="114300" simplePos="0" relativeHeight="251695104" behindDoc="0" locked="0" layoutInCell="1" allowOverlap="1">
                <wp:simplePos x="0" y="0"/>
                <wp:positionH relativeFrom="column">
                  <wp:posOffset>6660515</wp:posOffset>
                </wp:positionH>
                <wp:positionV relativeFrom="paragraph">
                  <wp:posOffset>31115</wp:posOffset>
                </wp:positionV>
                <wp:extent cx="1009650" cy="1219835"/>
                <wp:effectExtent l="0" t="0" r="19050" b="18415"/>
                <wp:wrapNone/>
                <wp:docPr id="58" name="矩形 481"/>
                <wp:cNvGraphicFramePr/>
                <a:graphic xmlns:a="http://schemas.openxmlformats.org/drawingml/2006/main">
                  <a:graphicData uri="http://schemas.microsoft.com/office/word/2010/wordprocessingShape">
                    <wps:wsp>
                      <wps:cNvSpPr>
                        <a:spLocks noChangeArrowheads="1"/>
                      </wps:cNvSpPr>
                      <wps:spPr bwMode="auto">
                        <a:xfrm>
                          <a:off x="0" y="0"/>
                          <a:ext cx="1009650" cy="121983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矩形 481" o:spid="_x0000_s1026" o:spt="1" style="position:absolute;left:0pt;margin-left:524.45pt;margin-top:2.45pt;height:96.05pt;width:79.5pt;z-index:251695104;mso-width-relative:page;mso-height-relative:page;" fillcolor="#FFFFFF" filled="t" stroked="t" coordsize="21600,21600" o:gfxdata="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UvapY1wAAAAsBAAAPAAAAAAAAAAEAIAAAACIAAABkcnMvZG93bnJldi54&#10;bWxQSwECFAAUAAAACACHTuJAmTBgeDQCAABzBAAADgAAAAAAAAABACAAAAAmAQAAZHJzL2Uyb0Rv&#10;Yy54bWxQSwUGAAAAAAYABgBZAQAAzAUAAAAA&#10;">
                <v:fill on="t" focussize="0,0"/>
                <v:stroke color="#000000" miterlimit="8" joinstyle="miter"/>
                <v:imagedata o:title=""/>
                <o:lock v:ext="edit" aspectratio="f"/>
              </v:rect>
            </w:pict>
          </mc:Fallback>
        </mc:AlternateContent>
      </w:r>
      <w:r>
        <w:rPr>
          <w:sz w:val="21"/>
          <w:szCs w:val="20"/>
        </w:rPr>
        <mc:AlternateContent>
          <mc:Choice Requires="wps">
            <w:drawing>
              <wp:anchor distT="0" distB="0" distL="114300" distR="114300" simplePos="0" relativeHeight="251696128" behindDoc="0" locked="0" layoutInCell="1" allowOverlap="1">
                <wp:simplePos x="0" y="0"/>
                <wp:positionH relativeFrom="column">
                  <wp:posOffset>6894830</wp:posOffset>
                </wp:positionH>
                <wp:positionV relativeFrom="paragraph">
                  <wp:posOffset>92075</wp:posOffset>
                </wp:positionV>
                <wp:extent cx="571500" cy="295275"/>
                <wp:effectExtent l="0" t="0" r="1270" b="0"/>
                <wp:wrapNone/>
                <wp:docPr id="475" name="文本框 482"/>
                <wp:cNvGraphicFramePr/>
                <a:graphic xmlns:a="http://schemas.openxmlformats.org/drawingml/2006/main">
                  <a:graphicData uri="http://schemas.microsoft.com/office/word/2010/wordprocessingShape">
                    <wps:wsp>
                      <wps:cNvSpPr txBox="1">
                        <a:spLocks noChangeArrowheads="1"/>
                      </wps:cNvSpPr>
                      <wps:spPr bwMode="auto">
                        <a:xfrm>
                          <a:off x="0" y="0"/>
                          <a:ext cx="571500" cy="295275"/>
                        </a:xfrm>
                        <a:prstGeom prst="rect">
                          <a:avLst/>
                        </a:prstGeom>
                        <a:noFill/>
                        <a:ln>
                          <a:noFill/>
                        </a:ln>
                      </wps:spPr>
                      <wps:txbx>
                        <w:txbxContent>
                          <w:p>
                            <w:pPr>
                              <w:ind w:firstLine="482"/>
                              <w:rPr>
                                <w:b/>
                                <w:bCs/>
                              </w:rPr>
                            </w:pPr>
                            <w:r>
                              <w:rPr>
                                <w:rFonts w:hint="eastAsia"/>
                                <w:b/>
                                <w:bCs/>
                              </w:rPr>
                              <w:t>图例</w:t>
                            </w:r>
                          </w:p>
                        </w:txbxContent>
                      </wps:txbx>
                      <wps:bodyPr rot="0" vert="horz" wrap="square" lIns="91440" tIns="45720" rIns="91440" bIns="45720" anchor="t" anchorCtr="0" upright="1">
                        <a:noAutofit/>
                      </wps:bodyPr>
                    </wps:wsp>
                  </a:graphicData>
                </a:graphic>
              </wp:anchor>
            </w:drawing>
          </mc:Choice>
          <mc:Fallback>
            <w:pict>
              <v:shape id="文本框 482" o:spid="_x0000_s1026" o:spt="202" type="#_x0000_t202" style="position:absolute;left:0pt;margin-left:542.9pt;margin-top:7.25pt;height:23.25pt;width:45pt;z-index:251696128;mso-width-relative:page;mso-height-relative:page;" filled="f" stroked="f" coordsize="21600,21600" o:gfxdata="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jAftbWAAAACwEAAA8A&#10;AAAAAAAAAQAgAAAAIgAAAGRycy9kb3ducmV2LnhtbFBLAQIUABQAAAAIAIdO4kBIxDT3GQIAABgE&#10;AAAOAAAAAAAAAAEAIAAAACUBAABkcnMvZTJvRG9jLnhtbFBLBQYAAAAABgAGAFkBAACwBQAAAAA=&#10;">
                <v:fill on="f" focussize="0,0"/>
                <v:stroke on="f"/>
                <v:imagedata o:title=""/>
                <o:lock v:ext="edit" aspectratio="f"/>
                <v:textbox>
                  <w:txbxContent>
                    <w:p>
                      <w:pPr>
                        <w:ind w:firstLine="482"/>
                        <w:rPr>
                          <w:b/>
                          <w:bCs/>
                        </w:rPr>
                      </w:pPr>
                      <w:r>
                        <w:rPr>
                          <w:rFonts w:hint="eastAsia"/>
                          <w:b/>
                          <w:bCs/>
                        </w:rPr>
                        <w:t>图例</w:t>
                      </w:r>
                    </w:p>
                  </w:txbxContent>
                </v:textbox>
              </v:shape>
            </w:pict>
          </mc:Fallback>
        </mc:AlternateContent>
      </w: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r>
        <w:rPr>
          <w:sz w:val="21"/>
          <w:szCs w:val="20"/>
        </w:rPr>
        <mc:AlternateContent>
          <mc:Choice Requires="wps">
            <w:drawing>
              <wp:anchor distT="0" distB="0" distL="114300" distR="114300" simplePos="0" relativeHeight="251698176" behindDoc="0" locked="0" layoutInCell="1" allowOverlap="1">
                <wp:simplePos x="0" y="0"/>
                <wp:positionH relativeFrom="column">
                  <wp:posOffset>7038975</wp:posOffset>
                </wp:positionH>
                <wp:positionV relativeFrom="paragraph">
                  <wp:posOffset>92075</wp:posOffset>
                </wp:positionV>
                <wp:extent cx="685800" cy="371475"/>
                <wp:effectExtent l="0" t="0" r="1270" b="0"/>
                <wp:wrapNone/>
                <wp:docPr id="417" name="文本框 484"/>
                <wp:cNvGraphicFramePr/>
                <a:graphic xmlns:a="http://schemas.openxmlformats.org/drawingml/2006/main">
                  <a:graphicData uri="http://schemas.microsoft.com/office/word/2010/wordprocessingShape">
                    <wps:wsp>
                      <wps:cNvSpPr txBox="1">
                        <a:spLocks noChangeArrowheads="1"/>
                      </wps:cNvSpPr>
                      <wps:spPr bwMode="auto">
                        <a:xfrm>
                          <a:off x="0" y="0"/>
                          <a:ext cx="685800" cy="371475"/>
                        </a:xfrm>
                        <a:prstGeom prst="rect">
                          <a:avLst/>
                        </a:prstGeom>
                        <a:noFill/>
                        <a:ln>
                          <a:noFill/>
                        </a:ln>
                      </wps:spPr>
                      <wps:txbx>
                        <w:txbxContent>
                          <w:p>
                            <w:pPr>
                              <w:ind w:firstLine="0" w:firstLineChars="0"/>
                              <w:rPr>
                                <w:b/>
                                <w:bCs/>
                                <w:sz w:val="18"/>
                                <w:szCs w:val="18"/>
                              </w:rPr>
                            </w:pPr>
                            <w:r>
                              <w:rPr>
                                <w:rFonts w:hint="eastAsia"/>
                                <w:b/>
                                <w:bCs/>
                                <w:sz w:val="18"/>
                                <w:szCs w:val="18"/>
                              </w:rPr>
                              <w:t>排气筒</w:t>
                            </w:r>
                          </w:p>
                        </w:txbxContent>
                      </wps:txbx>
                      <wps:bodyPr rot="0" vert="horz" wrap="square" lIns="91440" tIns="45720" rIns="91440" bIns="45720" anchor="t" anchorCtr="0" upright="1">
                        <a:noAutofit/>
                      </wps:bodyPr>
                    </wps:wsp>
                  </a:graphicData>
                </a:graphic>
              </wp:anchor>
            </w:drawing>
          </mc:Choice>
          <mc:Fallback>
            <w:pict>
              <v:shape id="文本框 484" o:spid="_x0000_s1026" o:spt="202" type="#_x0000_t202" style="position:absolute;left:0pt;margin-left:554.25pt;margin-top:7.25pt;height:29.25pt;width:54pt;z-index:251698176;mso-width-relative:page;mso-height-relative:page;" filled="f" stroked="f" coordsize="21600,21600" o:gfxdata="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IKysW1gAAAAsBAAAP&#10;AAAAAAAAAAEAIAAAACIAAABkcnMvZG93bnJldi54bWxQSwECFAAUAAAACACHTuJARK6qTxoCAAAY&#10;BAAADgAAAAAAAAABACAAAAAlAQAAZHJzL2Uyb0RvYy54bWxQSwUGAAAAAAYABgBZAQAAsQUAAAAA&#10;">
                <v:fill on="f" focussize="0,0"/>
                <v:stroke on="f"/>
                <v:imagedata o:title=""/>
                <o:lock v:ext="edit" aspectratio="f"/>
                <v:textbox>
                  <w:txbxContent>
                    <w:p>
                      <w:pPr>
                        <w:ind w:firstLine="0" w:firstLineChars="0"/>
                        <w:rPr>
                          <w:b/>
                          <w:bCs/>
                          <w:sz w:val="18"/>
                          <w:szCs w:val="18"/>
                        </w:rPr>
                      </w:pPr>
                      <w:r>
                        <w:rPr>
                          <w:rFonts w:hint="eastAsia"/>
                          <w:b/>
                          <w:bCs/>
                          <w:sz w:val="18"/>
                          <w:szCs w:val="18"/>
                        </w:rPr>
                        <w:t>排气筒</w:t>
                      </w:r>
                    </w:p>
                  </w:txbxContent>
                </v:textbox>
              </v:shape>
            </w:pict>
          </mc:Fallback>
        </mc:AlternateContent>
      </w:r>
      <w:r>
        <w:rPr>
          <w:sz w:val="21"/>
          <w:szCs w:val="20"/>
        </w:rPr>
        <mc:AlternateContent>
          <mc:Choice Requires="wps">
            <w:drawing>
              <wp:anchor distT="0" distB="0" distL="114300" distR="114300" simplePos="0" relativeHeight="251697152" behindDoc="0" locked="0" layoutInCell="1" allowOverlap="1">
                <wp:simplePos x="0" y="0"/>
                <wp:positionH relativeFrom="column">
                  <wp:posOffset>6760845</wp:posOffset>
                </wp:positionH>
                <wp:positionV relativeFrom="paragraph">
                  <wp:posOffset>111760</wp:posOffset>
                </wp:positionV>
                <wp:extent cx="161290" cy="142875"/>
                <wp:effectExtent l="0" t="0" r="0" b="9525"/>
                <wp:wrapNone/>
                <wp:docPr id="478" name="自选图形 483"/>
                <wp:cNvGraphicFramePr/>
                <a:graphic xmlns:a="http://schemas.openxmlformats.org/drawingml/2006/main">
                  <a:graphicData uri="http://schemas.microsoft.com/office/word/2010/wordprocessingShape">
                    <wps:wsp>
                      <wps:cNvSpPr>
                        <a:spLocks noChangeArrowheads="1"/>
                      </wps:cNvSpPr>
                      <wps:spPr bwMode="auto">
                        <a:xfrm>
                          <a:off x="0" y="0"/>
                          <a:ext cx="161290" cy="142875"/>
                        </a:xfrm>
                        <a:prstGeom prst="octagon">
                          <a:avLst>
                            <a:gd name="adj" fmla="val 29287"/>
                          </a:avLst>
                        </a:prstGeom>
                        <a:solidFill>
                          <a:srgbClr val="00B050"/>
                        </a:solidFill>
                        <a:ln>
                          <a:noFill/>
                        </a:ln>
                      </wps:spPr>
                      <wps:bodyPr rot="0" vert="horz" wrap="square" lIns="91440" tIns="45720" rIns="91440" bIns="45720" anchor="t" anchorCtr="0" upright="1">
                        <a:noAutofit/>
                      </wps:bodyPr>
                    </wps:wsp>
                  </a:graphicData>
                </a:graphic>
              </wp:anchor>
            </w:drawing>
          </mc:Choice>
          <mc:Fallback>
            <w:pict>
              <v:shape id="自选图形 483" o:spid="_x0000_s1026" o:spt="10" type="#_x0000_t10" style="position:absolute;left:0pt;margin-left:532.35pt;margin-top:8.8pt;height:11.25pt;width:12.7pt;z-index:251697152;mso-width-relative:page;mso-height-relative:page;" fillcolor="#00B050" filled="t" stroked="f" coordsize="21600,21600" o:gfxdata="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FQP5q2AAAAAsBAAAPAAAAAAAAAAEAIAAA&#10;ACIAAABkcnMvZG93bnJldi54bWxQSwECFAAUAAAACACHTuJAlJzuoEUCAABeBAAADgAAAAAAAAAB&#10;ACAAAAAnAQAAZHJzL2Uyb0RvYy54bWxQSwUGAAAAAAYABgBZAQAA3gUAAAAA&#10;" adj="6326">
                <v:fill on="t" focussize="0,0"/>
                <v:stroke on="f"/>
                <v:imagedata o:title=""/>
                <o:lock v:ext="edit" aspectratio="f"/>
              </v:shape>
            </w:pict>
          </mc:Fallback>
        </mc:AlternateContent>
      </w:r>
    </w:p>
    <w:p>
      <w:pPr>
        <w:spacing w:line="240" w:lineRule="auto"/>
        <w:ind w:firstLine="0" w:firstLineChars="0"/>
        <w:rPr>
          <w:sz w:val="21"/>
          <w:szCs w:val="20"/>
        </w:rPr>
      </w:pPr>
    </w:p>
    <w:p>
      <w:pPr>
        <w:spacing w:line="240" w:lineRule="auto"/>
        <w:ind w:firstLine="0" w:firstLineChars="0"/>
        <w:rPr>
          <w:sz w:val="21"/>
          <w:szCs w:val="20"/>
        </w:rPr>
      </w:pPr>
      <w:r>
        <w:rPr>
          <w:sz w:val="21"/>
          <w:szCs w:val="20"/>
        </w:rPr>
        <mc:AlternateContent>
          <mc:Choice Requires="wps">
            <w:drawing>
              <wp:anchor distT="0" distB="0" distL="114300" distR="114300" simplePos="0" relativeHeight="251700224" behindDoc="0" locked="0" layoutInCell="1" allowOverlap="1">
                <wp:simplePos x="0" y="0"/>
                <wp:positionH relativeFrom="column">
                  <wp:posOffset>6863080</wp:posOffset>
                </wp:positionH>
                <wp:positionV relativeFrom="paragraph">
                  <wp:posOffset>120015</wp:posOffset>
                </wp:positionV>
                <wp:extent cx="895350" cy="400050"/>
                <wp:effectExtent l="0" t="0" r="1270" b="0"/>
                <wp:wrapNone/>
                <wp:docPr id="416" name="文本框 486"/>
                <wp:cNvGraphicFramePr/>
                <a:graphic xmlns:a="http://schemas.openxmlformats.org/drawingml/2006/main">
                  <a:graphicData uri="http://schemas.microsoft.com/office/word/2010/wordprocessingShape">
                    <wps:wsp>
                      <wps:cNvSpPr txBox="1">
                        <a:spLocks noChangeArrowheads="1"/>
                      </wps:cNvSpPr>
                      <wps:spPr bwMode="auto">
                        <a:xfrm>
                          <a:off x="0" y="0"/>
                          <a:ext cx="895350" cy="400050"/>
                        </a:xfrm>
                        <a:prstGeom prst="rect">
                          <a:avLst/>
                        </a:prstGeom>
                        <a:noFill/>
                        <a:ln>
                          <a:noFill/>
                        </a:ln>
                      </wps:spPr>
                      <wps:txbx>
                        <w:txbxContent>
                          <w:p>
                            <w:pPr>
                              <w:ind w:firstLine="0" w:firstLineChars="0"/>
                              <w:rPr>
                                <w:b/>
                                <w:bCs/>
                                <w:sz w:val="18"/>
                                <w:szCs w:val="18"/>
                              </w:rPr>
                            </w:pPr>
                            <w:r>
                              <w:rPr>
                                <w:rFonts w:hint="eastAsia"/>
                                <w:b/>
                                <w:bCs/>
                                <w:sz w:val="18"/>
                                <w:szCs w:val="18"/>
                              </w:rPr>
                              <w:t>厂区总排水口</w:t>
                            </w:r>
                          </w:p>
                        </w:txbxContent>
                      </wps:txbx>
                      <wps:bodyPr rot="0" vert="horz" wrap="square" lIns="91440" tIns="45720" rIns="91440" bIns="45720" anchor="t" anchorCtr="0" upright="1">
                        <a:noAutofit/>
                      </wps:bodyPr>
                    </wps:wsp>
                  </a:graphicData>
                </a:graphic>
              </wp:anchor>
            </w:drawing>
          </mc:Choice>
          <mc:Fallback>
            <w:pict>
              <v:shape id="文本框 486" o:spid="_x0000_s1026" o:spt="202" type="#_x0000_t202" style="position:absolute;left:0pt;margin-left:540.4pt;margin-top:9.45pt;height:31.5pt;width:70.5pt;z-index:251700224;mso-width-relative:page;mso-height-relative:page;" filled="f" stroked="f" coordsize="21600,21600" o:gfxdata="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40V6jWAAAACwEAAA8A&#10;AAAAAAAAAQAgAAAAIgAAAGRycy9kb3ducmV2LnhtbFBLAQIUABQAAAAIAIdO4kCl9BrzGQIAABgE&#10;AAAOAAAAAAAAAAEAIAAAACUBAABkcnMvZTJvRG9jLnhtbFBLBQYAAAAABgAGAFkBAACwBQAAAAA=&#10;">
                <v:fill on="f" focussize="0,0"/>
                <v:stroke on="f"/>
                <v:imagedata o:title=""/>
                <o:lock v:ext="edit" aspectratio="f"/>
                <v:textbox>
                  <w:txbxContent>
                    <w:p>
                      <w:pPr>
                        <w:ind w:firstLine="0" w:firstLineChars="0"/>
                        <w:rPr>
                          <w:b/>
                          <w:bCs/>
                          <w:sz w:val="18"/>
                          <w:szCs w:val="18"/>
                        </w:rPr>
                      </w:pPr>
                      <w:r>
                        <w:rPr>
                          <w:rFonts w:hint="eastAsia"/>
                          <w:b/>
                          <w:bCs/>
                          <w:sz w:val="18"/>
                          <w:szCs w:val="18"/>
                        </w:rPr>
                        <w:t>厂区总排水口</w:t>
                      </w:r>
                    </w:p>
                  </w:txbxContent>
                </v:textbox>
              </v:shape>
            </w:pict>
          </mc:Fallback>
        </mc:AlternateContent>
      </w:r>
    </w:p>
    <w:p>
      <w:pPr>
        <w:spacing w:line="240" w:lineRule="auto"/>
        <w:ind w:firstLine="0" w:firstLineChars="0"/>
        <w:rPr>
          <w:sz w:val="21"/>
          <w:szCs w:val="20"/>
        </w:rPr>
      </w:pPr>
      <w:r>
        <w:rPr>
          <w:sz w:val="21"/>
          <w:szCs w:val="20"/>
        </w:rPr>
        <mc:AlternateContent>
          <mc:Choice Requires="wps">
            <w:drawing>
              <wp:anchor distT="0" distB="0" distL="114300" distR="114300" simplePos="0" relativeHeight="251699200" behindDoc="0" locked="0" layoutInCell="1" allowOverlap="1">
                <wp:simplePos x="0" y="0"/>
                <wp:positionH relativeFrom="column">
                  <wp:posOffset>6746875</wp:posOffset>
                </wp:positionH>
                <wp:positionV relativeFrom="paragraph">
                  <wp:posOffset>6985</wp:posOffset>
                </wp:positionV>
                <wp:extent cx="170815" cy="152400"/>
                <wp:effectExtent l="17780" t="19050" r="20955" b="9525"/>
                <wp:wrapNone/>
                <wp:docPr id="479" name="自选图形 485"/>
                <wp:cNvGraphicFramePr/>
                <a:graphic xmlns:a="http://schemas.openxmlformats.org/drawingml/2006/main">
                  <a:graphicData uri="http://schemas.microsoft.com/office/word/2010/wordprocessingShape">
                    <wps:wsp>
                      <wps:cNvSpPr>
                        <a:spLocks noChangeArrowheads="1"/>
                      </wps:cNvSpPr>
                      <wps:spPr bwMode="auto">
                        <a:xfrm>
                          <a:off x="0" y="0"/>
                          <a:ext cx="170815" cy="152400"/>
                        </a:xfrm>
                        <a:prstGeom prst="triangle">
                          <a:avLst>
                            <a:gd name="adj" fmla="val 50000"/>
                          </a:avLst>
                        </a:prstGeom>
                        <a:solidFill>
                          <a:srgbClr val="254061"/>
                        </a:solidFill>
                        <a:ln w="9525">
                          <a:solidFill>
                            <a:srgbClr val="254061"/>
                          </a:solidFill>
                          <a:miter lim="800000"/>
                        </a:ln>
                      </wps:spPr>
                      <wps:bodyPr rot="0" vert="horz" wrap="square" lIns="91440" tIns="45720" rIns="91440" bIns="45720" anchor="t" anchorCtr="0" upright="1">
                        <a:noAutofit/>
                      </wps:bodyPr>
                    </wps:wsp>
                  </a:graphicData>
                </a:graphic>
              </wp:anchor>
            </w:drawing>
          </mc:Choice>
          <mc:Fallback>
            <w:pict>
              <v:shape id="自选图形 485" o:spid="_x0000_s1026" o:spt="5" type="#_x0000_t5" style="position:absolute;left:0pt;margin-left:531.25pt;margin-top:0.55pt;height:12pt;width:13.45pt;z-index:251699200;mso-width-relative:page;mso-height-relative:page;" fillcolor="#254061" filled="t" stroked="t" coordsize="21600,21600" o:gfxdata="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UB5q9gAAAAK&#10;AQAADwAAAAAAAAABACAAAAAiAAAAZHJzL2Rvd25yZXYueG1sUEsBAhQAFAAAAAgAh07iQEecTnVV&#10;AgAAqAQAAA4AAAAAAAAAAQAgAAAAJwEAAGRycy9lMm9Eb2MueG1sUEsFBgAAAAAGAAYAWQEAAO4F&#10;AAAAAA==&#10;" adj="10800">
                <v:fill on="t" focussize="0,0"/>
                <v:stroke color="#254061" miterlimit="8" joinstyle="miter"/>
                <v:imagedata o:title=""/>
                <o:lock v:ext="edit" aspectratio="f"/>
              </v:shape>
            </w:pict>
          </mc:Fallback>
        </mc:AlternateContent>
      </w: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r>
        <w:rPr>
          <w:szCs w:val="21"/>
        </w:rPr>
        <mc:AlternateContent>
          <mc:Choice Requires="wps">
            <w:drawing>
              <wp:anchor distT="45720" distB="45720" distL="114300" distR="114300" simplePos="0" relativeHeight="251707392" behindDoc="0" locked="0" layoutInCell="1" allowOverlap="1">
                <wp:simplePos x="0" y="0"/>
                <wp:positionH relativeFrom="margin">
                  <wp:align>center</wp:align>
                </wp:positionH>
                <wp:positionV relativeFrom="paragraph">
                  <wp:posOffset>311150</wp:posOffset>
                </wp:positionV>
                <wp:extent cx="1999615" cy="323215"/>
                <wp:effectExtent l="0" t="0" r="0" b="635"/>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99622" cy="323215"/>
                        </a:xfrm>
                        <a:prstGeom prst="rect">
                          <a:avLst/>
                        </a:prstGeom>
                        <a:noFill/>
                        <a:ln w="9525">
                          <a:noFill/>
                          <a:miter lim="800000"/>
                        </a:ln>
                      </wps:spPr>
                      <wps:txbx>
                        <w:txbxContent>
                          <w:p>
                            <w:pPr>
                              <w:pStyle w:val="58"/>
                            </w:pPr>
                            <w:r>
                              <w:rPr>
                                <w:rFonts w:hint="eastAsia"/>
                              </w:rPr>
                              <w:t>附图</w:t>
                            </w:r>
                            <w:r>
                              <w:t>3</w:t>
                            </w:r>
                            <w:r>
                              <w:rPr>
                                <w:rFonts w:hint="eastAsia"/>
                              </w:rPr>
                              <w:t xml:space="preserve">  厂区平面布置示意图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top:24.5pt;height:25.45pt;width:157.45pt;mso-position-horizontal:center;mso-position-horizontal-relative:margin;z-index:251707392;mso-width-relative:page;mso-height-relative:page;" filled="f" stroked="f" coordsize="21600,21600" o:gfxdata="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optb3UAAAA&#10;BgEAAA8AAAAAAAAAAQAgAAAAIgAAAGRycy9kb3ducmV2LnhtbFBLAQIUABQAAAAIAIdO4kCbh+Fd&#10;IQIAACkEAAAOAAAAAAAAAAEAIAAAACMBAABkcnMvZTJvRG9jLnhtbFBLBQYAAAAABgAGAFkBAAC2&#10;BQAAAAA=&#10;">
                <v:fill on="f" focussize="0,0"/>
                <v:stroke on="f" miterlimit="8" joinstyle="miter"/>
                <v:imagedata o:title=""/>
                <o:lock v:ext="edit" aspectratio="f"/>
                <v:textbox>
                  <w:txbxContent>
                    <w:p>
                      <w:pPr>
                        <w:pStyle w:val="58"/>
                      </w:pPr>
                      <w:r>
                        <w:rPr>
                          <w:rFonts w:hint="eastAsia"/>
                        </w:rPr>
                        <w:t>附图</w:t>
                      </w:r>
                      <w:r>
                        <w:t>3</w:t>
                      </w:r>
                      <w:r>
                        <w:rPr>
                          <w:rFonts w:hint="eastAsia"/>
                        </w:rPr>
                        <w:t xml:space="preserve">  厂区平面布置示意图</w:t>
                      </w:r>
                    </w:p>
                  </w:txbxContent>
                </v:textbox>
              </v:shape>
            </w:pict>
          </mc:Fallback>
        </mc:AlternateContent>
      </w:r>
      <w:r>
        <w:rPr>
          <w:sz w:val="21"/>
          <w:szCs w:val="20"/>
        </w:rPr>
        <mc:AlternateContent>
          <mc:Choice Requires="wps">
            <w:drawing>
              <wp:anchor distT="0" distB="0" distL="114300" distR="114300" simplePos="0" relativeHeight="251706368" behindDoc="0" locked="0" layoutInCell="1" allowOverlap="1">
                <wp:simplePos x="0" y="0"/>
                <wp:positionH relativeFrom="column">
                  <wp:posOffset>2272665</wp:posOffset>
                </wp:positionH>
                <wp:positionV relativeFrom="paragraph">
                  <wp:posOffset>267970</wp:posOffset>
                </wp:positionV>
                <wp:extent cx="1270000" cy="0"/>
                <wp:effectExtent l="38100" t="76200" r="25400" b="95250"/>
                <wp:wrapNone/>
                <wp:docPr id="34" name="直接箭头连接符 34"/>
                <wp:cNvGraphicFramePr/>
                <a:graphic xmlns:a="http://schemas.openxmlformats.org/drawingml/2006/main">
                  <a:graphicData uri="http://schemas.microsoft.com/office/word/2010/wordprocessingShape">
                    <wps:wsp>
                      <wps:cNvCnPr/>
                      <wps:spPr>
                        <a:xfrm>
                          <a:off x="0" y="0"/>
                          <a:ext cx="12700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id="_x0000_s1026" o:spid="_x0000_s1026" o:spt="32" type="#_x0000_t32" style="position:absolute;left:0pt;margin-left:178.95pt;margin-top:21.1pt;height:0pt;width:100pt;z-index:251706368;mso-width-relative:page;mso-height-relative:page;" filled="f" stroked="t" coordsize="21600,21600" o:gfxdata="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icf1gAAAAkB&#10;AAAPAAAAAAAAAAEAIAAAACIAAABkcnMvZG93bnJldi54bWxQSwECFAAUAAAACACHTuJAuz7Iah0C&#10;AAAhBAAADgAAAAAAAAABACAAAAAlAQAAZHJzL2Uyb0RvYy54bWxQSwUGAAAAAAYABgBZAQAAtAUA&#10;AAAA&#10;">
                <v:fill on="f" focussize="0,0"/>
                <v:stroke weight="0.5pt" color="#000000" miterlimit="8" joinstyle="miter" startarrow="block" endarrow="block"/>
                <v:imagedata o:title=""/>
                <o:lock v:ext="edit" aspectratio="f"/>
              </v:shape>
            </w:pict>
          </mc:Fallback>
        </mc:AlternateContent>
      </w:r>
      <w:r>
        <w:rPr>
          <w:sz w:val="21"/>
          <w:szCs w:val="20"/>
        </w:rPr>
        <mc:AlternateContent>
          <mc:Choice Requires="wps">
            <w:drawing>
              <wp:anchor distT="0" distB="0" distL="114300" distR="114300" simplePos="0" relativeHeight="251683840" behindDoc="0" locked="0" layoutInCell="1" allowOverlap="1">
                <wp:simplePos x="0" y="0"/>
                <wp:positionH relativeFrom="column">
                  <wp:posOffset>2501900</wp:posOffset>
                </wp:positionH>
                <wp:positionV relativeFrom="paragraph">
                  <wp:posOffset>17780</wp:posOffset>
                </wp:positionV>
                <wp:extent cx="647065" cy="276225"/>
                <wp:effectExtent l="0" t="0" r="0" b="9525"/>
                <wp:wrapNone/>
                <wp:docPr id="473" name="文本框 437"/>
                <wp:cNvGraphicFramePr/>
                <a:graphic xmlns:a="http://schemas.openxmlformats.org/drawingml/2006/main">
                  <a:graphicData uri="http://schemas.microsoft.com/office/word/2010/wordprocessingShape">
                    <wps:wsp>
                      <wps:cNvSpPr txBox="1">
                        <a:spLocks noChangeArrowheads="1"/>
                      </wps:cNvSpPr>
                      <wps:spPr bwMode="auto">
                        <a:xfrm>
                          <a:off x="0" y="0"/>
                          <a:ext cx="647065" cy="276225"/>
                        </a:xfrm>
                        <a:prstGeom prst="rect">
                          <a:avLst/>
                        </a:prstGeom>
                        <a:noFill/>
                        <a:ln>
                          <a:noFill/>
                        </a:ln>
                      </wps:spPr>
                      <wps:txbx>
                        <w:txbxContent>
                          <w:p>
                            <w:pPr>
                              <w:ind w:firstLine="0" w:firstLineChars="0"/>
                              <w:rPr>
                                <w:b/>
                                <w:bCs/>
                                <w:sz w:val="18"/>
                                <w:szCs w:val="18"/>
                              </w:rPr>
                            </w:pPr>
                            <w:r>
                              <w:rPr>
                                <w:b/>
                                <w:bCs/>
                                <w:sz w:val="18"/>
                                <w:szCs w:val="18"/>
                              </w:rPr>
                              <w:t>1</w:t>
                            </w:r>
                            <w:r>
                              <w:rPr>
                                <w:rFonts w:hint="eastAsia"/>
                                <w:b/>
                                <w:bCs/>
                                <w:sz w:val="18"/>
                                <w:szCs w:val="18"/>
                              </w:rPr>
                              <w:t>00m</w:t>
                            </w:r>
                          </w:p>
                        </w:txbxContent>
                      </wps:txbx>
                      <wps:bodyPr rot="0" vert="horz" wrap="square" lIns="91440" tIns="45720" rIns="91440" bIns="45720" anchor="t" anchorCtr="0" upright="1">
                        <a:noAutofit/>
                      </wps:bodyPr>
                    </wps:wsp>
                  </a:graphicData>
                </a:graphic>
              </wp:anchor>
            </w:drawing>
          </mc:Choice>
          <mc:Fallback>
            <w:pict>
              <v:shape id="文本框 437" o:spid="_x0000_s1026" o:spt="202" type="#_x0000_t202" style="position:absolute;left:0pt;margin-left:197pt;margin-top:1.4pt;height:21.75pt;width:50.95pt;z-index:251683840;mso-width-relative:page;mso-height-relative:page;" filled="f" stroked="f" coordsize="21600,21600" o:gfxdata="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8/JqtYAAAAIAQAA&#10;DwAAAAAAAAABACAAAAAiAAAAZHJzL2Rvd25yZXYueG1sUEsBAhQAFAAAAAgAh07iQJci31MbAgAA&#10;GAQAAA4AAAAAAAAAAQAgAAAAJQEAAGRycy9lMm9Eb2MueG1sUEsFBgAAAAAGAAYAWQEAALIFAAAA&#10;AA==&#10;">
                <v:fill on="f" focussize="0,0"/>
                <v:stroke on="f"/>
                <v:imagedata o:title=""/>
                <o:lock v:ext="edit" aspectratio="f"/>
                <v:textbox>
                  <w:txbxContent>
                    <w:p>
                      <w:pPr>
                        <w:ind w:firstLine="0" w:firstLineChars="0"/>
                        <w:rPr>
                          <w:b/>
                          <w:bCs/>
                          <w:sz w:val="18"/>
                          <w:szCs w:val="18"/>
                        </w:rPr>
                      </w:pPr>
                      <w:r>
                        <w:rPr>
                          <w:b/>
                          <w:bCs/>
                          <w:sz w:val="18"/>
                          <w:szCs w:val="18"/>
                        </w:rPr>
                        <w:t>1</w:t>
                      </w:r>
                      <w:r>
                        <w:rPr>
                          <w:rFonts w:hint="eastAsia"/>
                          <w:b/>
                          <w:bCs/>
                          <w:sz w:val="18"/>
                          <w:szCs w:val="18"/>
                        </w:rPr>
                        <w:t>00m</w:t>
                      </w:r>
                    </w:p>
                  </w:txbxContent>
                </v:textbox>
              </v:shape>
            </w:pict>
          </mc:Fallback>
        </mc:AlternateContent>
      </w:r>
    </w:p>
    <w:p>
      <w:pPr>
        <w:spacing w:line="240" w:lineRule="auto"/>
        <w:ind w:firstLine="0" w:firstLineChars="0"/>
        <w:rPr>
          <w:sz w:val="21"/>
          <w:szCs w:val="20"/>
        </w:rPr>
      </w:pPr>
      <w:r>
        <w:rPr>
          <w:sz w:val="21"/>
          <w:szCs w:val="20"/>
        </w:rPr>
        <w:drawing>
          <wp:anchor distT="0" distB="0" distL="114300" distR="114300" simplePos="0" relativeHeight="251708416" behindDoc="0" locked="0" layoutInCell="1" allowOverlap="1">
            <wp:simplePos x="0" y="0"/>
            <wp:positionH relativeFrom="page">
              <wp:posOffset>1013460</wp:posOffset>
            </wp:positionH>
            <wp:positionV relativeFrom="paragraph">
              <wp:posOffset>-365125</wp:posOffset>
            </wp:positionV>
            <wp:extent cx="7624445" cy="5936615"/>
            <wp:effectExtent l="0" t="0" r="0" b="6985"/>
            <wp:wrapNone/>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26">
                      <a:extLst>
                        <a:ext uri="{28A0092B-C50C-407E-A947-70E740481C1C}">
                          <a14:useLocalDpi xmlns:a14="http://schemas.microsoft.com/office/drawing/2010/main" val="0"/>
                        </a:ext>
                      </a:extLst>
                    </a:blip>
                    <a:srcRect t="673" b="-1"/>
                    <a:stretch>
                      <a:fillRect/>
                    </a:stretch>
                  </pic:blipFill>
                  <pic:spPr>
                    <a:xfrm>
                      <a:off x="0" y="0"/>
                      <a:ext cx="7624445" cy="5936615"/>
                    </a:xfrm>
                    <a:prstGeom prst="rect">
                      <a:avLst/>
                    </a:prstGeom>
                    <a:ln>
                      <a:noFill/>
                    </a:ln>
                  </pic:spPr>
                </pic:pic>
              </a:graphicData>
            </a:graphic>
          </wp:anchor>
        </w:drawing>
      </w: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r>
        <w:rPr>
          <w:sz w:val="21"/>
          <w:szCs w:val="20"/>
        </w:rPr>
        <w:drawing>
          <wp:anchor distT="0" distB="0" distL="114300" distR="114300" simplePos="0" relativeHeight="251709440" behindDoc="0" locked="0" layoutInCell="1" allowOverlap="1">
            <wp:simplePos x="0" y="0"/>
            <wp:positionH relativeFrom="column">
              <wp:posOffset>7080885</wp:posOffset>
            </wp:positionH>
            <wp:positionV relativeFrom="paragraph">
              <wp:posOffset>29845</wp:posOffset>
            </wp:positionV>
            <wp:extent cx="1423670" cy="5073015"/>
            <wp:effectExtent l="0" t="0" r="5080" b="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23670" cy="5073015"/>
                    </a:xfrm>
                    <a:prstGeom prst="rect">
                      <a:avLst/>
                    </a:prstGeom>
                  </pic:spPr>
                </pic:pic>
              </a:graphicData>
            </a:graphic>
          </wp:anchor>
        </w:drawing>
      </w: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p>
    <w:p>
      <w:pPr>
        <w:spacing w:line="240" w:lineRule="auto"/>
        <w:ind w:firstLine="0" w:firstLineChars="0"/>
        <w:rPr>
          <w:sz w:val="21"/>
          <w:szCs w:val="20"/>
        </w:rPr>
      </w:pPr>
      <w:r>
        <w:rPr>
          <w:szCs w:val="21"/>
        </w:rPr>
        <mc:AlternateContent>
          <mc:Choice Requires="wps">
            <w:drawing>
              <wp:anchor distT="45720" distB="45720" distL="114300" distR="114300" simplePos="0" relativeHeight="251710464" behindDoc="0" locked="0" layoutInCell="1" allowOverlap="1">
                <wp:simplePos x="0" y="0"/>
                <wp:positionH relativeFrom="margin">
                  <wp:posOffset>3602355</wp:posOffset>
                </wp:positionH>
                <wp:positionV relativeFrom="paragraph">
                  <wp:posOffset>459105</wp:posOffset>
                </wp:positionV>
                <wp:extent cx="2693035" cy="323215"/>
                <wp:effectExtent l="0" t="0" r="0" b="0"/>
                <wp:wrapNone/>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92958" cy="323215"/>
                        </a:xfrm>
                        <a:prstGeom prst="rect">
                          <a:avLst/>
                        </a:prstGeom>
                        <a:noFill/>
                        <a:ln w="9525">
                          <a:noFill/>
                          <a:miter lim="800000"/>
                        </a:ln>
                      </wps:spPr>
                      <wps:txbx>
                        <w:txbxContent>
                          <w:p>
                            <w:pPr>
                              <w:pStyle w:val="58"/>
                            </w:pPr>
                            <w:r>
                              <w:rPr>
                                <w:rFonts w:hint="eastAsia"/>
                              </w:rPr>
                              <w:t>附图</w:t>
                            </w:r>
                            <w:r>
                              <w:t>4</w:t>
                            </w:r>
                            <w:r>
                              <w:rPr>
                                <w:rFonts w:hint="eastAsia"/>
                              </w:rPr>
                              <w:t xml:space="preserve">  敏感目标示意图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83.65pt;margin-top:36.15pt;height:25.45pt;width:212.05pt;mso-position-horizontal-relative:margin;z-index:251710464;mso-width-relative:page;mso-height-relative:page;" filled="f" stroked="f" coordsize="21600,21600" o:gfxdata="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8mrW&#10;ItgAAAAKAQAADwAAAAAAAAABACAAAAAiAAAAZHJzL2Rvd25yZXYueG1sUEsBAhQAFAAAAAgAh07i&#10;QMYfVGgiAgAAKQQAAA4AAAAAAAAAAQAgAAAAJwEAAGRycy9lMm9Eb2MueG1sUEsFBgAAAAAGAAYA&#10;WQEAALsFAAAAAA==&#10;">
                <v:fill on="f" focussize="0,0"/>
                <v:stroke on="f" miterlimit="8" joinstyle="miter"/>
                <v:imagedata o:title=""/>
                <o:lock v:ext="edit" aspectratio="f"/>
                <v:textbox>
                  <w:txbxContent>
                    <w:p>
                      <w:pPr>
                        <w:pStyle w:val="58"/>
                      </w:pPr>
                      <w:r>
                        <w:rPr>
                          <w:rFonts w:hint="eastAsia"/>
                        </w:rPr>
                        <w:t>附图</w:t>
                      </w:r>
                      <w:r>
                        <w:t>4</w:t>
                      </w:r>
                      <w:r>
                        <w:rPr>
                          <w:rFonts w:hint="eastAsia"/>
                        </w:rPr>
                        <w:t xml:space="preserve">  敏感目标示意图</w:t>
                      </w:r>
                    </w:p>
                  </w:txbxContent>
                </v:textbox>
              </v:shape>
            </w:pict>
          </mc:Fallback>
        </mc:AlternateContent>
      </w:r>
    </w:p>
    <w:p>
      <w:pPr>
        <w:spacing w:line="240" w:lineRule="auto"/>
        <w:ind w:firstLine="0" w:firstLineChars="0"/>
        <w:jc w:val="center"/>
      </w:pPr>
      <w:r>
        <w:rPr>
          <w:rFonts w:eastAsiaTheme="minorEastAsia"/>
          <w:bCs/>
          <w:sz w:val="18"/>
          <w:szCs w:val="18"/>
        </w:rPr>
        <w:drawing>
          <wp:anchor distT="0" distB="0" distL="114300" distR="114300" simplePos="0" relativeHeight="251711488" behindDoc="1" locked="0" layoutInCell="1" allowOverlap="1">
            <wp:simplePos x="0" y="0"/>
            <wp:positionH relativeFrom="margin">
              <wp:align>center</wp:align>
            </wp:positionH>
            <wp:positionV relativeFrom="paragraph">
              <wp:posOffset>-273685</wp:posOffset>
            </wp:positionV>
            <wp:extent cx="6501130" cy="5904865"/>
            <wp:effectExtent l="0" t="0" r="0" b="1270"/>
            <wp:wrapNone/>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501284" cy="5904776"/>
                    </a:xfrm>
                    <a:prstGeom prst="rect">
                      <a:avLst/>
                    </a:prstGeom>
                  </pic:spPr>
                </pic:pic>
              </a:graphicData>
            </a:graphic>
          </wp:anchor>
        </w:drawing>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r>
        <w:rPr>
          <w:szCs w:val="21"/>
        </w:rPr>
        <mc:AlternateContent>
          <mc:Choice Requires="wps">
            <w:drawing>
              <wp:anchor distT="45720" distB="45720" distL="114300" distR="114300" simplePos="0" relativeHeight="251712512" behindDoc="0" locked="0" layoutInCell="1" allowOverlap="1">
                <wp:simplePos x="0" y="0"/>
                <wp:positionH relativeFrom="margin">
                  <wp:posOffset>3691255</wp:posOffset>
                </wp:positionH>
                <wp:positionV relativeFrom="paragraph">
                  <wp:posOffset>1407160</wp:posOffset>
                </wp:positionV>
                <wp:extent cx="2693035" cy="323215"/>
                <wp:effectExtent l="0" t="0" r="0" b="0"/>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92958" cy="323215"/>
                        </a:xfrm>
                        <a:prstGeom prst="rect">
                          <a:avLst/>
                        </a:prstGeom>
                        <a:noFill/>
                        <a:ln w="9525">
                          <a:noFill/>
                          <a:miter lim="800000"/>
                        </a:ln>
                      </wps:spPr>
                      <wps:txbx>
                        <w:txbxContent>
                          <w:p>
                            <w:pPr>
                              <w:pStyle w:val="58"/>
                            </w:pPr>
                            <w:r>
                              <w:rPr>
                                <w:rFonts w:hint="eastAsia"/>
                              </w:rPr>
                              <w:t>附图</w:t>
                            </w:r>
                            <w:r>
                              <w:t>5</w:t>
                            </w:r>
                            <w:r>
                              <w:rPr>
                                <w:rFonts w:hint="eastAsia"/>
                              </w:rPr>
                              <w:t xml:space="preserve">  监测点位图</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90.65pt;margin-top:110.8pt;height:25.45pt;width:212.05pt;mso-position-horizontal-relative:margin;z-index:251712512;mso-width-relative:page;mso-height-relative:page;" filled="f" stroked="f" coordsize="21600,21600" o:gfxdata="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f&#10;Wpox2QAAAAwBAAAPAAAAAAAAAAEAIAAAACIAAABkcnMvZG93bnJldi54bWxQSwECFAAUAAAACACH&#10;TuJAWvTGtCMCAAAqBAAADgAAAAAAAAABACAAAAAoAQAAZHJzL2Uyb0RvYy54bWxQSwUGAAAAAAYA&#10;BgBZAQAAvQUAAAAA&#10;">
                <v:fill on="f" focussize="0,0"/>
                <v:stroke on="f" miterlimit="8" joinstyle="miter"/>
                <v:imagedata o:title=""/>
                <o:lock v:ext="edit" aspectratio="f"/>
                <v:textbox>
                  <w:txbxContent>
                    <w:p>
                      <w:pPr>
                        <w:pStyle w:val="58"/>
                      </w:pPr>
                      <w:r>
                        <w:rPr>
                          <w:rFonts w:hint="eastAsia"/>
                        </w:rPr>
                        <w:t>附图</w:t>
                      </w:r>
                      <w:r>
                        <w:t>5</w:t>
                      </w:r>
                      <w:r>
                        <w:rPr>
                          <w:rFonts w:hint="eastAsia"/>
                        </w:rPr>
                        <w:t xml:space="preserve">  监测点位图</w:t>
                      </w:r>
                    </w:p>
                  </w:txbxContent>
                </v:textbox>
              </v:shape>
            </w:pict>
          </mc:Fallback>
        </mc:AlternateContent>
      </w:r>
    </w:p>
    <w:p>
      <w:pPr>
        <w:pStyle w:val="6"/>
        <w:sectPr>
          <w:headerReference r:id="rId14" w:type="default"/>
          <w:footerReference r:id="rId15" w:type="default"/>
          <w:pgSz w:w="16838" w:h="11906" w:orient="landscape"/>
          <w:pgMar w:top="1247" w:right="1531" w:bottom="1247" w:left="1588" w:header="851" w:footer="992" w:gutter="0"/>
          <w:cols w:space="425" w:num="1"/>
          <w:docGrid w:linePitch="326" w:charSpace="0"/>
        </w:sectPr>
      </w:pPr>
    </w:p>
    <w:p>
      <w:pPr>
        <w:pStyle w:val="7"/>
        <w:keepNext w:val="0"/>
        <w:keepLines w:val="0"/>
        <w:widowControl w:val="0"/>
      </w:pPr>
      <w:bookmarkStart w:id="396" w:name="_Toc29182"/>
      <w:bookmarkStart w:id="397" w:name="_Toc9570"/>
      <w:bookmarkStart w:id="398" w:name="_Toc6002"/>
      <w:bookmarkStart w:id="399" w:name="_Toc22621"/>
      <w:bookmarkStart w:id="400" w:name="_Toc11054"/>
      <w:bookmarkStart w:id="401" w:name="_Toc5078"/>
      <w:r>
        <w:t>12  附件</w:t>
      </w:r>
      <w:bookmarkEnd w:id="396"/>
      <w:bookmarkEnd w:id="397"/>
      <w:bookmarkEnd w:id="398"/>
      <w:bookmarkEnd w:id="399"/>
      <w:bookmarkEnd w:id="400"/>
      <w:bookmarkEnd w:id="401"/>
    </w:p>
    <w:p>
      <w:pPr>
        <w:pStyle w:val="8"/>
        <w:rPr>
          <w:color w:val="auto"/>
        </w:rPr>
      </w:pPr>
      <w:bookmarkStart w:id="402" w:name="_Toc26319"/>
      <w:bookmarkStart w:id="403" w:name="_Toc4513"/>
      <w:bookmarkStart w:id="404" w:name="_Toc9192"/>
      <w:bookmarkStart w:id="405" w:name="_Toc17177"/>
      <w:bookmarkStart w:id="406" w:name="_Toc11198"/>
      <w:bookmarkStart w:id="407" w:name="_Toc6549"/>
      <w:r>
        <w:rPr>
          <w:color w:val="auto"/>
        </w:rPr>
        <w:t>12.1  营业执照</w:t>
      </w:r>
      <w:bookmarkEnd w:id="402"/>
      <w:bookmarkEnd w:id="403"/>
      <w:bookmarkEnd w:id="404"/>
      <w:bookmarkEnd w:id="405"/>
      <w:bookmarkEnd w:id="406"/>
      <w:bookmarkEnd w:id="407"/>
    </w:p>
    <w:p>
      <w:pPr>
        <w:ind w:firstLine="0" w:firstLineChars="0"/>
      </w:pPr>
      <w:r>
        <w:rPr>
          <w:b/>
          <w:szCs w:val="21"/>
        </w:rPr>
        <w:drawing>
          <wp:inline distT="0" distB="0" distL="0" distR="0">
            <wp:extent cx="5034915" cy="7395210"/>
            <wp:effectExtent l="0" t="0" r="0" b="0"/>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noChangeArrowheads="1"/>
                    </pic:cNvPicPr>
                  </pic:nvPicPr>
                  <pic:blipFill>
                    <a:blip r:embed="rId29" cstate="print">
                      <a:extLst>
                        <a:ext uri="{28A0092B-C50C-407E-A947-70E740481C1C}">
                          <a14:useLocalDpi xmlns:a14="http://schemas.microsoft.com/office/drawing/2010/main" val="0"/>
                        </a:ext>
                      </a:extLst>
                    </a:blip>
                    <a:srcRect l="2281" r="6962"/>
                    <a:stretch>
                      <a:fillRect/>
                    </a:stretch>
                  </pic:blipFill>
                  <pic:spPr>
                    <a:xfrm rot="10800000">
                      <a:off x="0" y="0"/>
                      <a:ext cx="5040173" cy="7402147"/>
                    </a:xfrm>
                    <a:prstGeom prst="rect">
                      <a:avLst/>
                    </a:prstGeom>
                    <a:noFill/>
                    <a:ln>
                      <a:noFill/>
                    </a:ln>
                  </pic:spPr>
                </pic:pic>
              </a:graphicData>
            </a:graphic>
          </wp:inline>
        </w:drawing>
      </w:r>
    </w:p>
    <w:p>
      <w:pPr>
        <w:ind w:firstLine="480"/>
        <w:sectPr>
          <w:headerReference r:id="rId16" w:type="default"/>
          <w:footerReference r:id="rId17" w:type="default"/>
          <w:pgSz w:w="11906" w:h="16838"/>
          <w:pgMar w:top="1247" w:right="1531" w:bottom="1247" w:left="1588" w:header="851" w:footer="992" w:gutter="0"/>
          <w:cols w:space="425" w:num="1"/>
          <w:docGrid w:linePitch="326" w:charSpace="0"/>
        </w:sectPr>
      </w:pPr>
    </w:p>
    <w:p>
      <w:pPr>
        <w:pStyle w:val="8"/>
        <w:rPr>
          <w:color w:val="auto"/>
        </w:rPr>
      </w:pPr>
      <w:bookmarkStart w:id="408" w:name="_Toc17598"/>
      <w:bookmarkStart w:id="409" w:name="_Toc22738"/>
      <w:bookmarkStart w:id="410" w:name="_Toc13851"/>
      <w:bookmarkStart w:id="411" w:name="_Toc31972"/>
      <w:bookmarkStart w:id="412" w:name="_Toc26481"/>
      <w:bookmarkStart w:id="413" w:name="_Toc5889"/>
      <w:r>
        <w:rPr>
          <w:color w:val="auto"/>
        </w:rPr>
        <w:t>12.2  环评批复</w:t>
      </w:r>
      <w:bookmarkEnd w:id="408"/>
      <w:bookmarkEnd w:id="409"/>
      <w:bookmarkEnd w:id="410"/>
      <w:bookmarkEnd w:id="411"/>
      <w:bookmarkEnd w:id="412"/>
      <w:bookmarkEnd w:id="413"/>
    </w:p>
    <w:p>
      <w:pPr>
        <w:ind w:firstLine="0" w:firstLineChars="0"/>
      </w:pPr>
      <w:r>
        <w:drawing>
          <wp:inline distT="0" distB="0" distL="114300" distR="114300">
            <wp:extent cx="5559425" cy="7412990"/>
            <wp:effectExtent l="0" t="0" r="3175" b="16510"/>
            <wp:docPr id="2" name="图片 2" descr="微信图片_2020120914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209142729"/>
                    <pic:cNvPicPr>
                      <a:picLocks noChangeAspect="1"/>
                    </pic:cNvPicPr>
                  </pic:nvPicPr>
                  <pic:blipFill>
                    <a:blip r:embed="rId30"/>
                    <a:stretch>
                      <a:fillRect/>
                    </a:stretch>
                  </pic:blipFill>
                  <pic:spPr>
                    <a:xfrm>
                      <a:off x="0" y="0"/>
                      <a:ext cx="5559425" cy="7412990"/>
                    </a:xfrm>
                    <a:prstGeom prst="rect">
                      <a:avLst/>
                    </a:prstGeom>
                  </pic:spPr>
                </pic:pic>
              </a:graphicData>
            </a:graphic>
          </wp:inline>
        </w:drawing>
      </w:r>
    </w:p>
    <w:p>
      <w:pPr>
        <w:ind w:firstLine="0" w:firstLineChars="0"/>
      </w:pPr>
    </w:p>
    <w:p>
      <w:pPr>
        <w:ind w:firstLine="480"/>
      </w:pPr>
      <w:r>
        <w:br w:type="page"/>
      </w:r>
    </w:p>
    <w:p>
      <w:pPr>
        <w:pStyle w:val="2"/>
      </w:pPr>
      <w:r>
        <w:drawing>
          <wp:inline distT="0" distB="0" distL="114300" distR="114300">
            <wp:extent cx="5559425" cy="7412990"/>
            <wp:effectExtent l="0" t="0" r="3175" b="16510"/>
            <wp:docPr id="4" name="图片 4" descr="微信图片_2020120914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1209142740"/>
                    <pic:cNvPicPr>
                      <a:picLocks noChangeAspect="1"/>
                    </pic:cNvPicPr>
                  </pic:nvPicPr>
                  <pic:blipFill>
                    <a:blip r:embed="rId31"/>
                    <a:stretch>
                      <a:fillRect/>
                    </a:stretch>
                  </pic:blipFill>
                  <pic:spPr>
                    <a:xfrm>
                      <a:off x="0" y="0"/>
                      <a:ext cx="5559425" cy="7412990"/>
                    </a:xfrm>
                    <a:prstGeom prst="rect">
                      <a:avLst/>
                    </a:prstGeom>
                  </pic:spPr>
                </pic:pic>
              </a:graphicData>
            </a:graphic>
          </wp:inline>
        </w:drawing>
      </w:r>
    </w:p>
    <w:p>
      <w:pPr>
        <w:ind w:firstLine="480"/>
      </w:pPr>
      <w:r>
        <w:br w:type="page"/>
      </w:r>
    </w:p>
    <w:p>
      <w:pPr>
        <w:pStyle w:val="2"/>
        <w:sectPr>
          <w:pgSz w:w="11906" w:h="16838"/>
          <w:pgMar w:top="1247" w:right="1531" w:bottom="1247" w:left="1588" w:header="851" w:footer="992" w:gutter="0"/>
          <w:cols w:space="425" w:num="1"/>
          <w:docGrid w:linePitch="326" w:charSpace="0"/>
        </w:sectPr>
      </w:pPr>
    </w:p>
    <w:p>
      <w:pPr>
        <w:pStyle w:val="8"/>
        <w:rPr>
          <w:color w:val="auto"/>
        </w:rPr>
      </w:pPr>
      <w:bookmarkStart w:id="414" w:name="_Toc4428"/>
      <w:bookmarkStart w:id="415" w:name="_Toc12015"/>
      <w:bookmarkStart w:id="416" w:name="_Toc6260"/>
      <w:r>
        <w:rPr>
          <w:color w:val="auto"/>
        </w:rPr>
        <w:t>12.</w:t>
      </w:r>
      <w:r>
        <w:rPr>
          <w:rFonts w:hint="eastAsia"/>
          <w:color w:val="auto"/>
        </w:rPr>
        <w:t>3</w:t>
      </w:r>
      <w:r>
        <w:rPr>
          <w:color w:val="auto"/>
        </w:rPr>
        <w:t xml:space="preserve">  </w:t>
      </w:r>
      <w:bookmarkEnd w:id="414"/>
      <w:bookmarkEnd w:id="415"/>
      <w:r>
        <w:rPr>
          <w:rFonts w:hint="eastAsia"/>
          <w:color w:val="auto"/>
        </w:rPr>
        <w:t>排污登记截图</w:t>
      </w:r>
      <w:bookmarkEnd w:id="416"/>
    </w:p>
    <w:p>
      <w:pPr>
        <w:ind w:firstLine="480"/>
        <w:sectPr>
          <w:pgSz w:w="11906" w:h="16838"/>
          <w:pgMar w:top="1247" w:right="1531" w:bottom="1247" w:left="1588" w:header="851" w:footer="992" w:gutter="0"/>
          <w:cols w:space="425" w:num="1"/>
          <w:docGrid w:linePitch="326" w:charSpace="0"/>
        </w:sectPr>
      </w:pPr>
      <w:r>
        <w:drawing>
          <wp:inline distT="0" distB="0" distL="114300" distR="114300">
            <wp:extent cx="5574665" cy="7643495"/>
            <wp:effectExtent l="0" t="0" r="6985" b="14605"/>
            <wp:docPr id="7" name="图片 7" descr="1630473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0473574(1)"/>
                    <pic:cNvPicPr>
                      <a:picLocks noChangeAspect="1"/>
                    </pic:cNvPicPr>
                  </pic:nvPicPr>
                  <pic:blipFill>
                    <a:blip r:embed="rId32"/>
                    <a:stretch>
                      <a:fillRect/>
                    </a:stretch>
                  </pic:blipFill>
                  <pic:spPr>
                    <a:xfrm>
                      <a:off x="0" y="0"/>
                      <a:ext cx="5574665" cy="7643495"/>
                    </a:xfrm>
                    <a:prstGeom prst="rect">
                      <a:avLst/>
                    </a:prstGeom>
                  </pic:spPr>
                </pic:pic>
              </a:graphicData>
            </a:graphic>
          </wp:inline>
        </w:drawing>
      </w:r>
    </w:p>
    <w:p>
      <w:pPr>
        <w:pStyle w:val="8"/>
        <w:rPr>
          <w:color w:val="auto"/>
        </w:rPr>
      </w:pPr>
      <w:bookmarkStart w:id="417" w:name="_Toc16934"/>
      <w:r>
        <w:rPr>
          <w:color w:val="auto"/>
        </w:rPr>
        <w:t>12.</w:t>
      </w:r>
      <w:r>
        <w:rPr>
          <w:rFonts w:hint="eastAsia"/>
          <w:color w:val="auto"/>
        </w:rPr>
        <w:t>4</w:t>
      </w:r>
      <w:r>
        <w:rPr>
          <w:color w:val="auto"/>
        </w:rPr>
        <w:t xml:space="preserve">  </w:t>
      </w:r>
      <w:r>
        <w:rPr>
          <w:rFonts w:hint="eastAsia"/>
          <w:color w:val="auto"/>
        </w:rPr>
        <w:t>立项文件</w:t>
      </w:r>
      <w:bookmarkEnd w:id="417"/>
    </w:p>
    <w:p>
      <w:pPr>
        <w:ind w:firstLine="480"/>
      </w:pPr>
      <w:r>
        <w:rPr>
          <w:rFonts w:hint="eastAsia"/>
        </w:rPr>
        <w:drawing>
          <wp:inline distT="0" distB="0" distL="114300" distR="114300">
            <wp:extent cx="5578475" cy="6778625"/>
            <wp:effectExtent l="0" t="0" r="3175" b="3175"/>
            <wp:docPr id="17" name="图片 17" descr="1630473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30473867(1)"/>
                    <pic:cNvPicPr>
                      <a:picLocks noChangeAspect="1"/>
                    </pic:cNvPicPr>
                  </pic:nvPicPr>
                  <pic:blipFill>
                    <a:blip r:embed="rId33"/>
                    <a:stretch>
                      <a:fillRect/>
                    </a:stretch>
                  </pic:blipFill>
                  <pic:spPr>
                    <a:xfrm>
                      <a:off x="0" y="0"/>
                      <a:ext cx="5578475" cy="6778625"/>
                    </a:xfrm>
                    <a:prstGeom prst="rect">
                      <a:avLst/>
                    </a:prstGeom>
                  </pic:spPr>
                </pic:pic>
              </a:graphicData>
            </a:graphic>
          </wp:inline>
        </w:drawing>
      </w:r>
    </w:p>
    <w:p>
      <w:pPr>
        <w:pStyle w:val="3"/>
        <w:ind w:firstLine="170"/>
        <w:sectPr>
          <w:pgSz w:w="11906" w:h="16838"/>
          <w:pgMar w:top="1247" w:right="1531" w:bottom="1247" w:left="1588" w:header="851" w:footer="992" w:gutter="0"/>
          <w:cols w:space="425" w:num="1"/>
          <w:docGrid w:linePitch="326" w:charSpace="0"/>
        </w:sectPr>
      </w:pPr>
    </w:p>
    <w:p>
      <w:pPr>
        <w:pStyle w:val="6"/>
      </w:pPr>
      <w:r>
        <w:rPr>
          <w:rFonts w:hint="eastAsia"/>
        </w:rPr>
        <w:drawing>
          <wp:inline distT="0" distB="0" distL="114300" distR="114300">
            <wp:extent cx="5574665" cy="6889750"/>
            <wp:effectExtent l="0" t="0" r="6985" b="6350"/>
            <wp:docPr id="20" name="图片 20" descr="1630474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30474218(1)"/>
                    <pic:cNvPicPr>
                      <a:picLocks noChangeAspect="1"/>
                    </pic:cNvPicPr>
                  </pic:nvPicPr>
                  <pic:blipFill>
                    <a:blip r:embed="rId34"/>
                    <a:stretch>
                      <a:fillRect/>
                    </a:stretch>
                  </pic:blipFill>
                  <pic:spPr>
                    <a:xfrm>
                      <a:off x="0" y="0"/>
                      <a:ext cx="5574665" cy="6889750"/>
                    </a:xfrm>
                    <a:prstGeom prst="rect">
                      <a:avLst/>
                    </a:prstGeom>
                  </pic:spPr>
                </pic:pic>
              </a:graphicData>
            </a:graphic>
          </wp:inline>
        </w:drawing>
      </w:r>
    </w:p>
    <w:p>
      <w:pPr>
        <w:ind w:firstLine="480"/>
        <w:sectPr>
          <w:pgSz w:w="11906" w:h="16838"/>
          <w:pgMar w:top="1247" w:right="1531" w:bottom="1247" w:left="1588" w:header="851" w:footer="992" w:gutter="0"/>
          <w:cols w:space="425" w:num="1"/>
          <w:docGrid w:linePitch="326" w:charSpace="0"/>
        </w:sectPr>
      </w:pPr>
    </w:p>
    <w:p>
      <w:pPr>
        <w:pStyle w:val="8"/>
        <w:rPr>
          <w:color w:val="auto"/>
        </w:rPr>
      </w:pPr>
      <w:bookmarkStart w:id="418" w:name="_Toc21151"/>
      <w:r>
        <w:rPr>
          <w:color w:val="auto"/>
        </w:rPr>
        <w:t>12.</w:t>
      </w:r>
      <w:r>
        <w:rPr>
          <w:rFonts w:hint="eastAsia"/>
          <w:color w:val="auto"/>
        </w:rPr>
        <w:t>5</w:t>
      </w:r>
      <w:r>
        <w:rPr>
          <w:color w:val="auto"/>
        </w:rPr>
        <w:t xml:space="preserve">  </w:t>
      </w:r>
      <w:r>
        <w:rPr>
          <w:rFonts w:hint="eastAsia"/>
          <w:color w:val="auto"/>
        </w:rPr>
        <w:t>危废处理协议</w:t>
      </w:r>
      <w:bookmarkEnd w:id="418"/>
    </w:p>
    <w:p>
      <w:pPr>
        <w:ind w:firstLine="480"/>
      </w:pPr>
      <w:r>
        <w:drawing>
          <wp:inline distT="0" distB="0" distL="114300" distR="114300">
            <wp:extent cx="5575300" cy="7433945"/>
            <wp:effectExtent l="0" t="0" r="6350" b="14605"/>
            <wp:docPr id="12" name="图片 12" descr="db335f2a46cd65de6fd4081cef0ca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b335f2a46cd65de6fd4081cef0ca0b"/>
                    <pic:cNvPicPr>
                      <a:picLocks noChangeAspect="1"/>
                    </pic:cNvPicPr>
                  </pic:nvPicPr>
                  <pic:blipFill>
                    <a:blip r:embed="rId35"/>
                    <a:stretch>
                      <a:fillRect/>
                    </a:stretch>
                  </pic:blipFill>
                  <pic:spPr>
                    <a:xfrm>
                      <a:off x="0" y="0"/>
                      <a:ext cx="5575300" cy="7433945"/>
                    </a:xfrm>
                    <a:prstGeom prst="rect">
                      <a:avLst/>
                    </a:prstGeom>
                  </pic:spPr>
                </pic:pic>
              </a:graphicData>
            </a:graphic>
          </wp:inline>
        </w:drawing>
      </w:r>
      <w:r>
        <w:drawing>
          <wp:inline distT="0" distB="0" distL="114300" distR="114300">
            <wp:extent cx="5575300" cy="7433945"/>
            <wp:effectExtent l="0" t="0" r="6350" b="14605"/>
            <wp:docPr id="13" name="图片 13" descr="3a0e415abad863c988fc3e927761a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a0e415abad863c988fc3e927761a48"/>
                    <pic:cNvPicPr>
                      <a:picLocks noChangeAspect="1"/>
                    </pic:cNvPicPr>
                  </pic:nvPicPr>
                  <pic:blipFill>
                    <a:blip r:embed="rId36"/>
                    <a:stretch>
                      <a:fillRect/>
                    </a:stretch>
                  </pic:blipFill>
                  <pic:spPr>
                    <a:xfrm>
                      <a:off x="0" y="0"/>
                      <a:ext cx="5575300" cy="7433945"/>
                    </a:xfrm>
                    <a:prstGeom prst="rect">
                      <a:avLst/>
                    </a:prstGeom>
                  </pic:spPr>
                </pic:pic>
              </a:graphicData>
            </a:graphic>
          </wp:inline>
        </w:drawing>
      </w:r>
      <w:r>
        <w:drawing>
          <wp:inline distT="0" distB="0" distL="114300" distR="114300">
            <wp:extent cx="7124065" cy="5342890"/>
            <wp:effectExtent l="0" t="0" r="10160" b="635"/>
            <wp:docPr id="14" name="图片 14" descr="a95d5f93f369cf4d7d0df27812a1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95d5f93f369cf4d7d0df27812a13c6"/>
                    <pic:cNvPicPr>
                      <a:picLocks noChangeAspect="1"/>
                    </pic:cNvPicPr>
                  </pic:nvPicPr>
                  <pic:blipFill>
                    <a:blip r:embed="rId37"/>
                    <a:stretch>
                      <a:fillRect/>
                    </a:stretch>
                  </pic:blipFill>
                  <pic:spPr>
                    <a:xfrm rot="5400000">
                      <a:off x="0" y="0"/>
                      <a:ext cx="7124065" cy="5342890"/>
                    </a:xfrm>
                    <a:prstGeom prst="rect">
                      <a:avLst/>
                    </a:prstGeom>
                  </pic:spPr>
                </pic:pic>
              </a:graphicData>
            </a:graphic>
          </wp:inline>
        </w:drawing>
      </w:r>
      <w:r>
        <w:drawing>
          <wp:inline distT="0" distB="0" distL="114300" distR="114300">
            <wp:extent cx="7095490" cy="5321935"/>
            <wp:effectExtent l="0" t="0" r="12065" b="10160"/>
            <wp:docPr id="15" name="图片 15" descr="b450145d804f689a0e7d69817a99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450145d804f689a0e7d69817a99ee3"/>
                    <pic:cNvPicPr>
                      <a:picLocks noChangeAspect="1"/>
                    </pic:cNvPicPr>
                  </pic:nvPicPr>
                  <pic:blipFill>
                    <a:blip r:embed="rId38"/>
                    <a:stretch>
                      <a:fillRect/>
                    </a:stretch>
                  </pic:blipFill>
                  <pic:spPr>
                    <a:xfrm rot="5400000">
                      <a:off x="0" y="0"/>
                      <a:ext cx="7095490" cy="5321935"/>
                    </a:xfrm>
                    <a:prstGeom prst="rect">
                      <a:avLst/>
                    </a:prstGeom>
                  </pic:spPr>
                </pic:pic>
              </a:graphicData>
            </a:graphic>
          </wp:inline>
        </w:drawing>
      </w:r>
      <w:r>
        <w:drawing>
          <wp:inline distT="0" distB="0" distL="114300" distR="114300">
            <wp:extent cx="5559425" cy="7412990"/>
            <wp:effectExtent l="0" t="0" r="3175" b="16510"/>
            <wp:docPr id="16" name="图片 16" descr="5e44964926847068cc6904905a98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e44964926847068cc6904905a98a49"/>
                    <pic:cNvPicPr>
                      <a:picLocks noChangeAspect="1"/>
                    </pic:cNvPicPr>
                  </pic:nvPicPr>
                  <pic:blipFill>
                    <a:blip r:embed="rId39"/>
                    <a:stretch>
                      <a:fillRect/>
                    </a:stretch>
                  </pic:blipFill>
                  <pic:spPr>
                    <a:xfrm>
                      <a:off x="0" y="0"/>
                      <a:ext cx="5559425" cy="7412990"/>
                    </a:xfrm>
                    <a:prstGeom prst="rect">
                      <a:avLst/>
                    </a:prstGeom>
                  </pic:spPr>
                </pic:pic>
              </a:graphicData>
            </a:graphic>
          </wp:inline>
        </w:drawing>
      </w:r>
      <w:r>
        <w:drawing>
          <wp:inline distT="0" distB="0" distL="114300" distR="114300">
            <wp:extent cx="5559425" cy="7412990"/>
            <wp:effectExtent l="0" t="0" r="3175" b="16510"/>
            <wp:docPr id="18" name="图片 18" descr="1ad375d896ce893f4f1c8614a8ae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ad375d896ce893f4f1c8614a8aecf1"/>
                    <pic:cNvPicPr>
                      <a:picLocks noChangeAspect="1"/>
                    </pic:cNvPicPr>
                  </pic:nvPicPr>
                  <pic:blipFill>
                    <a:blip r:embed="rId40"/>
                    <a:stretch>
                      <a:fillRect/>
                    </a:stretch>
                  </pic:blipFill>
                  <pic:spPr>
                    <a:xfrm>
                      <a:off x="0" y="0"/>
                      <a:ext cx="5559425" cy="7412990"/>
                    </a:xfrm>
                    <a:prstGeom prst="rect">
                      <a:avLst/>
                    </a:prstGeom>
                  </pic:spPr>
                </pic:pic>
              </a:graphicData>
            </a:graphic>
          </wp:inline>
        </w:drawing>
      </w:r>
    </w:p>
    <w:p>
      <w:pPr>
        <w:ind w:firstLine="480"/>
        <w:sectPr>
          <w:pgSz w:w="11906" w:h="16838"/>
          <w:pgMar w:top="1247" w:right="1531" w:bottom="1247" w:left="1588" w:header="851" w:footer="992" w:gutter="0"/>
          <w:cols w:space="425" w:num="1"/>
          <w:docGrid w:linePitch="326" w:charSpace="0"/>
        </w:sectPr>
      </w:pPr>
    </w:p>
    <w:p>
      <w:pPr>
        <w:pStyle w:val="8"/>
        <w:rPr>
          <w:color w:val="auto"/>
        </w:rPr>
      </w:pPr>
      <w:bookmarkStart w:id="419" w:name="_Toc12410"/>
      <w:r>
        <w:rPr>
          <w:color w:val="auto"/>
          <w:highlight w:val="none"/>
        </w:rPr>
        <w:t>12.</w:t>
      </w:r>
      <w:r>
        <w:rPr>
          <w:rFonts w:hint="eastAsia"/>
          <w:color w:val="auto"/>
          <w:highlight w:val="none"/>
        </w:rPr>
        <w:t>6</w:t>
      </w:r>
      <w:r>
        <w:rPr>
          <w:color w:val="auto"/>
          <w:highlight w:val="none"/>
        </w:rPr>
        <w:t xml:space="preserve">  </w:t>
      </w:r>
      <w:r>
        <w:rPr>
          <w:rFonts w:hint="eastAsia"/>
          <w:color w:val="auto"/>
          <w:highlight w:val="none"/>
        </w:rPr>
        <w:t>监测报告</w:t>
      </w:r>
      <w:bookmarkEnd w:id="419"/>
    </w:p>
    <w:p>
      <w:pPr>
        <w:ind w:firstLine="480"/>
      </w:pPr>
      <w:r>
        <w:rPr>
          <w:rFonts w:hint="eastAsia"/>
          <w:lang w:val="en-US" w:eastAsia="zh-CN"/>
        </w:rPr>
        <w:drawing>
          <wp:inline distT="0" distB="0" distL="114300" distR="114300">
            <wp:extent cx="5248275" cy="7448550"/>
            <wp:effectExtent l="0" t="0" r="9525" b="0"/>
            <wp:docPr id="19" name="图片 19" descr="1632374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32374010(1)"/>
                    <pic:cNvPicPr>
                      <a:picLocks noChangeAspect="1"/>
                    </pic:cNvPicPr>
                  </pic:nvPicPr>
                  <pic:blipFill>
                    <a:blip r:embed="rId41"/>
                    <a:stretch>
                      <a:fillRect/>
                    </a:stretch>
                  </pic:blipFill>
                  <pic:spPr>
                    <a:xfrm>
                      <a:off x="0" y="0"/>
                      <a:ext cx="5248275" cy="7448550"/>
                    </a:xfrm>
                    <a:prstGeom prst="rect">
                      <a:avLst/>
                    </a:prstGeom>
                  </pic:spPr>
                </pic:pic>
              </a:graphicData>
            </a:graphic>
          </wp:inline>
        </w:drawing>
      </w:r>
      <w:r>
        <w:rPr>
          <w:rFonts w:hint="eastAsia"/>
          <w:lang w:val="en-US" w:eastAsia="zh-CN"/>
        </w:rPr>
        <w:drawing>
          <wp:inline distT="0" distB="0" distL="114300" distR="114300">
            <wp:extent cx="5257800" cy="7439025"/>
            <wp:effectExtent l="0" t="0" r="0" b="9525"/>
            <wp:docPr id="21" name="图片 21" descr="1632374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32374039(1)"/>
                    <pic:cNvPicPr>
                      <a:picLocks noChangeAspect="1"/>
                    </pic:cNvPicPr>
                  </pic:nvPicPr>
                  <pic:blipFill>
                    <a:blip r:embed="rId42"/>
                    <a:stretch>
                      <a:fillRect/>
                    </a:stretch>
                  </pic:blipFill>
                  <pic:spPr>
                    <a:xfrm>
                      <a:off x="0" y="0"/>
                      <a:ext cx="5257800" cy="7439025"/>
                    </a:xfrm>
                    <a:prstGeom prst="rect">
                      <a:avLst/>
                    </a:prstGeom>
                  </pic:spPr>
                </pic:pic>
              </a:graphicData>
            </a:graphic>
          </wp:inline>
        </w:drawing>
      </w:r>
    </w:p>
    <w:p>
      <w:pPr>
        <w:pStyle w:val="2"/>
        <w:rPr>
          <w:rFonts w:hint="eastAsia" w:eastAsia="宋体"/>
          <w:lang w:eastAsia="zh-CN"/>
        </w:rPr>
        <w:sectPr>
          <w:pgSz w:w="11906" w:h="16838"/>
          <w:pgMar w:top="1247" w:right="1531" w:bottom="1247" w:left="1588" w:header="851" w:footer="992" w:gutter="0"/>
          <w:cols w:space="425" w:num="1"/>
          <w:docGrid w:linePitch="326" w:charSpace="0"/>
        </w:sectPr>
      </w:pPr>
      <w:bookmarkStart w:id="426" w:name="_GoBack"/>
      <w:bookmarkEnd w:id="426"/>
      <w:r>
        <w:drawing>
          <wp:inline distT="0" distB="0" distL="114300" distR="114300">
            <wp:extent cx="5577840" cy="7531100"/>
            <wp:effectExtent l="0" t="0" r="3810" b="12700"/>
            <wp:docPr id="26" name="图片 26" descr="1634633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34633814(1)"/>
                    <pic:cNvPicPr>
                      <a:picLocks noChangeAspect="1"/>
                    </pic:cNvPicPr>
                  </pic:nvPicPr>
                  <pic:blipFill>
                    <a:blip r:embed="rId43"/>
                    <a:stretch>
                      <a:fillRect/>
                    </a:stretch>
                  </pic:blipFill>
                  <pic:spPr>
                    <a:xfrm>
                      <a:off x="0" y="0"/>
                      <a:ext cx="5577840" cy="7531100"/>
                    </a:xfrm>
                    <a:prstGeom prst="rect">
                      <a:avLst/>
                    </a:prstGeom>
                  </pic:spPr>
                </pic:pic>
              </a:graphicData>
            </a:graphic>
          </wp:inline>
        </w:drawing>
      </w:r>
      <w:r>
        <w:rPr>
          <w:rFonts w:hint="eastAsia" w:eastAsia="宋体"/>
          <w:lang w:eastAsia="zh-CN"/>
        </w:rPr>
        <w:drawing>
          <wp:inline distT="0" distB="0" distL="114300" distR="114300">
            <wp:extent cx="5577840" cy="7653020"/>
            <wp:effectExtent l="0" t="0" r="3810" b="5080"/>
            <wp:docPr id="30" name="图片 30" descr="1634633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34633843(1)"/>
                    <pic:cNvPicPr>
                      <a:picLocks noChangeAspect="1"/>
                    </pic:cNvPicPr>
                  </pic:nvPicPr>
                  <pic:blipFill>
                    <a:blip r:embed="rId44"/>
                    <a:stretch>
                      <a:fillRect/>
                    </a:stretch>
                  </pic:blipFill>
                  <pic:spPr>
                    <a:xfrm>
                      <a:off x="0" y="0"/>
                      <a:ext cx="5577840" cy="7653020"/>
                    </a:xfrm>
                    <a:prstGeom prst="rect">
                      <a:avLst/>
                    </a:prstGeom>
                  </pic:spPr>
                </pic:pic>
              </a:graphicData>
            </a:graphic>
          </wp:inline>
        </w:drawing>
      </w:r>
      <w:r>
        <w:rPr>
          <w:rFonts w:hint="eastAsia" w:eastAsia="宋体"/>
          <w:lang w:eastAsia="zh-CN"/>
        </w:rPr>
        <w:drawing>
          <wp:inline distT="0" distB="0" distL="114300" distR="114300">
            <wp:extent cx="5577840" cy="7646035"/>
            <wp:effectExtent l="0" t="0" r="3810" b="12065"/>
            <wp:docPr id="31" name="图片 31" descr="1634633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34633872(1)"/>
                    <pic:cNvPicPr>
                      <a:picLocks noChangeAspect="1"/>
                    </pic:cNvPicPr>
                  </pic:nvPicPr>
                  <pic:blipFill>
                    <a:blip r:embed="rId45"/>
                    <a:stretch>
                      <a:fillRect/>
                    </a:stretch>
                  </pic:blipFill>
                  <pic:spPr>
                    <a:xfrm>
                      <a:off x="0" y="0"/>
                      <a:ext cx="5577840" cy="7646035"/>
                    </a:xfrm>
                    <a:prstGeom prst="rect">
                      <a:avLst/>
                    </a:prstGeom>
                  </pic:spPr>
                </pic:pic>
              </a:graphicData>
            </a:graphic>
          </wp:inline>
        </w:drawing>
      </w:r>
      <w:r>
        <w:rPr>
          <w:rFonts w:hint="eastAsia" w:eastAsia="宋体"/>
          <w:lang w:eastAsia="zh-CN"/>
        </w:rPr>
        <w:drawing>
          <wp:inline distT="0" distB="0" distL="114300" distR="114300">
            <wp:extent cx="5575300" cy="7783830"/>
            <wp:effectExtent l="0" t="0" r="6350" b="7620"/>
            <wp:docPr id="32" name="图片 32" descr="1634633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34633910(1)"/>
                    <pic:cNvPicPr>
                      <a:picLocks noChangeAspect="1"/>
                    </pic:cNvPicPr>
                  </pic:nvPicPr>
                  <pic:blipFill>
                    <a:blip r:embed="rId46"/>
                    <a:stretch>
                      <a:fillRect/>
                    </a:stretch>
                  </pic:blipFill>
                  <pic:spPr>
                    <a:xfrm>
                      <a:off x="0" y="0"/>
                      <a:ext cx="5575300" cy="7783830"/>
                    </a:xfrm>
                    <a:prstGeom prst="rect">
                      <a:avLst/>
                    </a:prstGeom>
                  </pic:spPr>
                </pic:pic>
              </a:graphicData>
            </a:graphic>
          </wp:inline>
        </w:drawing>
      </w:r>
      <w:r>
        <w:rPr>
          <w:rFonts w:hint="eastAsia" w:eastAsia="宋体"/>
          <w:lang w:eastAsia="zh-CN"/>
        </w:rPr>
        <w:drawing>
          <wp:inline distT="0" distB="0" distL="114300" distR="114300">
            <wp:extent cx="5574030" cy="7752715"/>
            <wp:effectExtent l="0" t="0" r="7620" b="635"/>
            <wp:docPr id="33" name="图片 33" descr="1634633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34633938(1)"/>
                    <pic:cNvPicPr>
                      <a:picLocks noChangeAspect="1"/>
                    </pic:cNvPicPr>
                  </pic:nvPicPr>
                  <pic:blipFill>
                    <a:blip r:embed="rId47"/>
                    <a:stretch>
                      <a:fillRect/>
                    </a:stretch>
                  </pic:blipFill>
                  <pic:spPr>
                    <a:xfrm>
                      <a:off x="0" y="0"/>
                      <a:ext cx="5574030" cy="7752715"/>
                    </a:xfrm>
                    <a:prstGeom prst="rect">
                      <a:avLst/>
                    </a:prstGeom>
                  </pic:spPr>
                </pic:pic>
              </a:graphicData>
            </a:graphic>
          </wp:inline>
        </w:drawing>
      </w:r>
    </w:p>
    <w:p>
      <w:pPr>
        <w:keepNext/>
        <w:keepLines/>
        <w:widowControl/>
        <w:spacing w:line="240" w:lineRule="auto"/>
        <w:ind w:firstLine="0" w:firstLineChars="0"/>
        <w:jc w:val="center"/>
        <w:outlineLvl w:val="0"/>
        <w:rPr>
          <w:rFonts w:eastAsia="黑体"/>
          <w:b/>
          <w:bCs/>
          <w:kern w:val="44"/>
          <w:sz w:val="28"/>
          <w:szCs w:val="28"/>
        </w:rPr>
      </w:pPr>
      <w:bookmarkStart w:id="420" w:name="_Toc47431987"/>
      <w:bookmarkStart w:id="421" w:name="_Toc18265"/>
      <w:bookmarkStart w:id="422" w:name="_Toc26739"/>
      <w:bookmarkStart w:id="423" w:name="_Toc4277"/>
      <w:bookmarkStart w:id="424" w:name="_Toc14077"/>
      <w:bookmarkStart w:id="425" w:name="_Toc30171"/>
      <w:r>
        <w:rPr>
          <w:rFonts w:eastAsia="黑体"/>
          <w:b/>
          <w:bCs/>
          <w:kern w:val="44"/>
          <w:sz w:val="28"/>
          <w:szCs w:val="28"/>
        </w:rPr>
        <w:t>建设项目竣工环境保护“三同时”验收登记表</w:t>
      </w:r>
      <w:bookmarkEnd w:id="420"/>
      <w:bookmarkEnd w:id="421"/>
      <w:bookmarkEnd w:id="422"/>
      <w:bookmarkEnd w:id="423"/>
      <w:bookmarkEnd w:id="424"/>
      <w:bookmarkEnd w:id="425"/>
    </w:p>
    <w:tbl>
      <w:tblPr>
        <w:tblStyle w:val="46"/>
        <w:tblW w:w="14174" w:type="dxa"/>
        <w:jc w:val="center"/>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
      <w:tblGrid>
        <w:gridCol w:w="564"/>
        <w:gridCol w:w="1368"/>
        <w:gridCol w:w="559"/>
        <w:gridCol w:w="461"/>
        <w:gridCol w:w="1020"/>
        <w:gridCol w:w="156"/>
        <w:gridCol w:w="591"/>
        <w:gridCol w:w="273"/>
        <w:gridCol w:w="1020"/>
        <w:gridCol w:w="621"/>
        <w:gridCol w:w="385"/>
        <w:gridCol w:w="260"/>
        <w:gridCol w:w="774"/>
        <w:gridCol w:w="835"/>
        <w:gridCol w:w="185"/>
        <w:gridCol w:w="376"/>
        <w:gridCol w:w="644"/>
        <w:gridCol w:w="1020"/>
        <w:gridCol w:w="112"/>
        <w:gridCol w:w="916"/>
        <w:gridCol w:w="320"/>
        <w:gridCol w:w="692"/>
        <w:gridCol w:w="480"/>
        <w:gridCol w:w="542"/>
      </w:tblGrid>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1932" w:type="dxa"/>
            <w:gridSpan w:val="2"/>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项目名称</w:t>
            </w:r>
          </w:p>
        </w:tc>
        <w:tc>
          <w:tcPr>
            <w:tcW w:w="2787" w:type="dxa"/>
            <w:gridSpan w:val="5"/>
            <w:tcBorders>
              <w:righ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沈阳造币有限公司彩喷机十台购置建设项目</w:t>
            </w:r>
          </w:p>
        </w:tc>
        <w:tc>
          <w:tcPr>
            <w:tcW w:w="1914" w:type="dxa"/>
            <w:gridSpan w:val="3"/>
            <w:tcBorders>
              <w:left w:val="single" w:color="auto" w:sz="4" w:space="0"/>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项目代码</w:t>
            </w:r>
          </w:p>
        </w:tc>
        <w:tc>
          <w:tcPr>
            <w:tcW w:w="2815" w:type="dxa"/>
            <w:gridSpan w:val="6"/>
            <w:tcBorders>
              <w:left w:val="single" w:color="auto" w:sz="4" w:space="0"/>
              <w:righ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w:t>
            </w:r>
          </w:p>
        </w:tc>
        <w:tc>
          <w:tcPr>
            <w:tcW w:w="1776" w:type="dxa"/>
            <w:gridSpan w:val="3"/>
            <w:tcBorders>
              <w:left w:val="single" w:color="auto" w:sz="4" w:space="0"/>
            </w:tcBorders>
            <w:vAlign w:val="center"/>
          </w:tcPr>
          <w:p>
            <w:pPr>
              <w:spacing w:line="0" w:lineRule="atLeast"/>
              <w:ind w:left="-120" w:leftChars="-50" w:right="-120" w:rightChars="-50" w:firstLine="0" w:firstLineChars="0"/>
              <w:jc w:val="center"/>
              <w:rPr>
                <w:kern w:val="0"/>
                <w:sz w:val="21"/>
                <w:szCs w:val="21"/>
              </w:rPr>
            </w:pPr>
            <w:r>
              <w:rPr>
                <w:b/>
                <w:bCs/>
                <w:kern w:val="0"/>
                <w:sz w:val="21"/>
                <w:szCs w:val="21"/>
              </w:rPr>
              <w:t>建设地点</w:t>
            </w:r>
          </w:p>
        </w:tc>
        <w:tc>
          <w:tcPr>
            <w:tcW w:w="2950" w:type="dxa"/>
            <w:gridSpan w:val="5"/>
            <w:vAlign w:val="center"/>
          </w:tcPr>
          <w:p>
            <w:pPr>
              <w:spacing w:line="0" w:lineRule="atLeast"/>
              <w:ind w:left="-120" w:leftChars="-50" w:right="-120" w:rightChars="-50" w:firstLine="0" w:firstLineChars="0"/>
              <w:jc w:val="center"/>
              <w:rPr>
                <w:kern w:val="0"/>
                <w:sz w:val="21"/>
                <w:szCs w:val="21"/>
              </w:rPr>
            </w:pPr>
            <w:r>
              <w:rPr>
                <w:kern w:val="0"/>
                <w:sz w:val="21"/>
                <w:szCs w:val="21"/>
              </w:rPr>
              <w:t>辽宁省沈阳市大东区大东路138号</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24" w:hRule="atLeast"/>
          <w:jc w:val="center"/>
        </w:trPr>
        <w:tc>
          <w:tcPr>
            <w:tcW w:w="1932" w:type="dxa"/>
            <w:gridSpan w:val="2"/>
            <w:tcBorders>
              <w:bottom w:val="single" w:color="auto" w:sz="6"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行业分类</w:t>
            </w:r>
          </w:p>
          <w:p>
            <w:pPr>
              <w:spacing w:line="0" w:lineRule="atLeast"/>
              <w:ind w:left="-120" w:leftChars="-50" w:right="-120" w:rightChars="-50" w:firstLine="0" w:firstLineChars="0"/>
              <w:jc w:val="center"/>
              <w:rPr>
                <w:b/>
                <w:bCs/>
                <w:kern w:val="0"/>
                <w:sz w:val="21"/>
                <w:szCs w:val="21"/>
              </w:rPr>
            </w:pPr>
            <w:r>
              <w:rPr>
                <w:b/>
                <w:bCs/>
                <w:kern w:val="0"/>
                <w:sz w:val="21"/>
                <w:szCs w:val="21"/>
              </w:rPr>
              <w:t>（分类管理名录）</w:t>
            </w:r>
          </w:p>
        </w:tc>
        <w:tc>
          <w:tcPr>
            <w:tcW w:w="4701" w:type="dxa"/>
            <w:gridSpan w:val="8"/>
            <w:tcBorders>
              <w:bottom w:val="single" w:color="auto" w:sz="6"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十二、印刷和记录媒介复制业</w:t>
            </w:r>
          </w:p>
        </w:tc>
        <w:tc>
          <w:tcPr>
            <w:tcW w:w="2815" w:type="dxa"/>
            <w:gridSpan w:val="6"/>
            <w:tcBorders>
              <w:bottom w:val="single" w:color="auto" w:sz="6" w:space="0"/>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建设性质</w:t>
            </w:r>
          </w:p>
        </w:tc>
        <w:tc>
          <w:tcPr>
            <w:tcW w:w="4726" w:type="dxa"/>
            <w:gridSpan w:val="8"/>
            <w:tcBorders>
              <w:left w:val="single" w:color="auto" w:sz="4" w:space="0"/>
              <w:bottom w:val="single" w:color="auto" w:sz="6"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新建</w:t>
            </w:r>
            <w:r>
              <w:rPr>
                <w:kern w:val="0"/>
                <w:sz w:val="21"/>
                <w:szCs w:val="21"/>
              </w:rPr>
              <w:sym w:font="Wingdings" w:char="00FE"/>
            </w:r>
            <w:r>
              <w:rPr>
                <w:kern w:val="0"/>
                <w:sz w:val="21"/>
                <w:szCs w:val="21"/>
              </w:rPr>
              <w:t>；改扩建</w:t>
            </w:r>
            <w:r>
              <w:rPr>
                <w:kern w:val="0"/>
                <w:sz w:val="21"/>
                <w:szCs w:val="21"/>
              </w:rPr>
              <w:sym w:font="Wingdings" w:char="00A8"/>
            </w:r>
            <w:r>
              <w:rPr>
                <w:kern w:val="0"/>
                <w:sz w:val="21"/>
                <w:szCs w:val="21"/>
              </w:rPr>
              <w:t>；技术改造</w:t>
            </w:r>
            <w:r>
              <w:rPr>
                <w:kern w:val="0"/>
                <w:sz w:val="21"/>
                <w:szCs w:val="21"/>
              </w:rPr>
              <w:sym w:font="Wingdings" w:char="00A8"/>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24" w:hRule="atLeast"/>
          <w:jc w:val="center"/>
        </w:trPr>
        <w:tc>
          <w:tcPr>
            <w:tcW w:w="1932" w:type="dxa"/>
            <w:gridSpan w:val="2"/>
            <w:vAlign w:val="center"/>
          </w:tcPr>
          <w:p>
            <w:pPr>
              <w:spacing w:line="0" w:lineRule="atLeast"/>
              <w:ind w:left="-120" w:leftChars="-50" w:right="-120" w:rightChars="-50" w:firstLine="0" w:firstLineChars="0"/>
              <w:jc w:val="center"/>
              <w:rPr>
                <w:kern w:val="0"/>
                <w:sz w:val="21"/>
                <w:szCs w:val="21"/>
              </w:rPr>
            </w:pPr>
            <w:r>
              <w:rPr>
                <w:b/>
                <w:bCs/>
                <w:kern w:val="0"/>
                <w:sz w:val="21"/>
                <w:szCs w:val="21"/>
              </w:rPr>
              <w:t>设计生产能力</w:t>
            </w:r>
          </w:p>
        </w:tc>
        <w:tc>
          <w:tcPr>
            <w:tcW w:w="2787" w:type="dxa"/>
            <w:gridSpan w:val="5"/>
            <w:vAlign w:val="center"/>
          </w:tcPr>
          <w:p>
            <w:pPr>
              <w:spacing w:line="0" w:lineRule="atLeast"/>
              <w:ind w:left="-120" w:leftChars="-50" w:right="-120" w:rightChars="-50" w:firstLine="0" w:firstLineChars="0"/>
              <w:jc w:val="center"/>
              <w:rPr>
                <w:kern w:val="0"/>
                <w:sz w:val="21"/>
                <w:szCs w:val="21"/>
              </w:rPr>
            </w:pPr>
            <w:r>
              <w:rPr>
                <w:kern w:val="0"/>
                <w:sz w:val="21"/>
                <w:szCs w:val="21"/>
              </w:rPr>
              <w:t>新建彩喷生产线10条，年产</w:t>
            </w:r>
            <w:r>
              <w:rPr>
                <w:rFonts w:hint="eastAsia"/>
                <w:kern w:val="0"/>
                <w:sz w:val="21"/>
                <w:szCs w:val="21"/>
              </w:rPr>
              <w:t>铜合金纪念币</w:t>
            </w:r>
            <w:r>
              <w:rPr>
                <w:kern w:val="0"/>
                <w:sz w:val="21"/>
                <w:szCs w:val="21"/>
              </w:rPr>
              <w:t>1亿枚</w:t>
            </w:r>
          </w:p>
        </w:tc>
        <w:tc>
          <w:tcPr>
            <w:tcW w:w="1914" w:type="dxa"/>
            <w:gridSpan w:val="3"/>
            <w:tcBorders>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实际生产能力</w:t>
            </w:r>
          </w:p>
        </w:tc>
        <w:tc>
          <w:tcPr>
            <w:tcW w:w="2815" w:type="dxa"/>
            <w:gridSpan w:val="6"/>
            <w:tcBorders>
              <w:left w:val="single" w:color="auto" w:sz="4" w:space="0"/>
              <w:right w:val="single" w:color="auto" w:sz="4" w:space="0"/>
            </w:tcBorders>
            <w:vAlign w:val="center"/>
          </w:tcPr>
          <w:p>
            <w:pPr>
              <w:spacing w:line="0" w:lineRule="atLeast"/>
              <w:ind w:left="-120" w:leftChars="-50" w:right="-120" w:rightChars="-50" w:firstLine="0" w:firstLineChars="0"/>
              <w:jc w:val="center"/>
              <w:rPr>
                <w:kern w:val="0"/>
                <w:sz w:val="21"/>
                <w:szCs w:val="21"/>
              </w:rPr>
            </w:pPr>
            <w:r>
              <w:rPr>
                <w:rFonts w:hint="eastAsia"/>
                <w:kern w:val="0"/>
                <w:sz w:val="21"/>
                <w:szCs w:val="21"/>
              </w:rPr>
              <w:t>新</w:t>
            </w:r>
            <w:r>
              <w:rPr>
                <w:kern w:val="0"/>
                <w:sz w:val="21"/>
                <w:szCs w:val="21"/>
              </w:rPr>
              <w:t>建彩喷生产线10条，年产</w:t>
            </w:r>
            <w:r>
              <w:rPr>
                <w:rFonts w:hint="eastAsia"/>
                <w:kern w:val="0"/>
                <w:sz w:val="21"/>
                <w:szCs w:val="21"/>
              </w:rPr>
              <w:t>铜合金纪念币</w:t>
            </w:r>
            <w:r>
              <w:rPr>
                <w:kern w:val="0"/>
                <w:sz w:val="21"/>
                <w:szCs w:val="21"/>
              </w:rPr>
              <w:t>1亿枚</w:t>
            </w:r>
          </w:p>
        </w:tc>
        <w:tc>
          <w:tcPr>
            <w:tcW w:w="1776" w:type="dxa"/>
            <w:gridSpan w:val="3"/>
            <w:tcBorders>
              <w:left w:val="single" w:color="auto" w:sz="4" w:space="0"/>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环评单位</w:t>
            </w:r>
          </w:p>
        </w:tc>
        <w:tc>
          <w:tcPr>
            <w:tcW w:w="2950" w:type="dxa"/>
            <w:gridSpan w:val="5"/>
            <w:tcBorders>
              <w:lef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辽宁省环保集团辐洁生态环境有限公司</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24" w:hRule="atLeast"/>
          <w:jc w:val="center"/>
        </w:trPr>
        <w:tc>
          <w:tcPr>
            <w:tcW w:w="1932" w:type="dxa"/>
            <w:gridSpan w:val="2"/>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环评文件</w:t>
            </w:r>
          </w:p>
          <w:p>
            <w:pPr>
              <w:spacing w:line="0" w:lineRule="atLeast"/>
              <w:ind w:left="-120" w:leftChars="-50" w:right="-120" w:rightChars="-50" w:firstLine="0" w:firstLineChars="0"/>
              <w:jc w:val="center"/>
              <w:rPr>
                <w:b/>
                <w:bCs/>
                <w:kern w:val="0"/>
                <w:sz w:val="21"/>
                <w:szCs w:val="21"/>
              </w:rPr>
            </w:pPr>
            <w:r>
              <w:rPr>
                <w:b/>
                <w:bCs/>
                <w:kern w:val="0"/>
                <w:sz w:val="21"/>
                <w:szCs w:val="21"/>
              </w:rPr>
              <w:t>审批机关</w:t>
            </w:r>
          </w:p>
        </w:tc>
        <w:tc>
          <w:tcPr>
            <w:tcW w:w="2787" w:type="dxa"/>
            <w:gridSpan w:val="5"/>
            <w:vAlign w:val="center"/>
          </w:tcPr>
          <w:p>
            <w:pPr>
              <w:spacing w:line="0" w:lineRule="atLeast"/>
              <w:ind w:left="-120" w:leftChars="-50" w:right="-120" w:rightChars="-50" w:firstLine="0" w:firstLineChars="0"/>
              <w:jc w:val="center"/>
              <w:rPr>
                <w:kern w:val="0"/>
                <w:sz w:val="21"/>
                <w:szCs w:val="21"/>
              </w:rPr>
            </w:pPr>
            <w:r>
              <w:rPr>
                <w:kern w:val="0"/>
                <w:sz w:val="21"/>
                <w:szCs w:val="21"/>
              </w:rPr>
              <w:t>沈阳市</w:t>
            </w:r>
            <w:r>
              <w:rPr>
                <w:rFonts w:hint="eastAsia"/>
                <w:kern w:val="0"/>
                <w:sz w:val="21"/>
                <w:szCs w:val="21"/>
              </w:rPr>
              <w:t>大东</w:t>
            </w:r>
            <w:r>
              <w:rPr>
                <w:kern w:val="0"/>
                <w:sz w:val="21"/>
                <w:szCs w:val="21"/>
              </w:rPr>
              <w:t>环境</w:t>
            </w:r>
            <w:r>
              <w:rPr>
                <w:rFonts w:hint="eastAsia"/>
                <w:kern w:val="0"/>
                <w:sz w:val="21"/>
                <w:szCs w:val="21"/>
              </w:rPr>
              <w:t>分</w:t>
            </w:r>
            <w:r>
              <w:rPr>
                <w:kern w:val="0"/>
                <w:sz w:val="21"/>
                <w:szCs w:val="21"/>
              </w:rPr>
              <w:t>局</w:t>
            </w:r>
          </w:p>
        </w:tc>
        <w:tc>
          <w:tcPr>
            <w:tcW w:w="1914" w:type="dxa"/>
            <w:gridSpan w:val="3"/>
            <w:tcBorders>
              <w:top w:val="single" w:color="auto" w:sz="4" w:space="0"/>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审批文号</w:t>
            </w:r>
          </w:p>
        </w:tc>
        <w:tc>
          <w:tcPr>
            <w:tcW w:w="2815" w:type="dxa"/>
            <w:gridSpan w:val="6"/>
            <w:tcBorders>
              <w:top w:val="single" w:color="auto" w:sz="4" w:space="0"/>
              <w:left w:val="single" w:color="auto" w:sz="4" w:space="0"/>
              <w:right w:val="single" w:color="auto" w:sz="4" w:space="0"/>
            </w:tcBorders>
            <w:vAlign w:val="center"/>
          </w:tcPr>
          <w:p>
            <w:pPr>
              <w:spacing w:line="0" w:lineRule="atLeast"/>
              <w:ind w:left="-120" w:leftChars="-50" w:right="-120" w:rightChars="-50" w:firstLine="0" w:firstLineChars="0"/>
              <w:jc w:val="center"/>
              <w:rPr>
                <w:kern w:val="0"/>
                <w:sz w:val="18"/>
                <w:szCs w:val="18"/>
              </w:rPr>
            </w:pPr>
            <w:r>
              <w:rPr>
                <w:sz w:val="21"/>
                <w:szCs w:val="21"/>
              </w:rPr>
              <w:t>沈环</w:t>
            </w:r>
            <w:r>
              <w:rPr>
                <w:rFonts w:hint="eastAsia"/>
                <w:sz w:val="21"/>
                <w:szCs w:val="21"/>
              </w:rPr>
              <w:t>大东</w:t>
            </w:r>
            <w:r>
              <w:rPr>
                <w:sz w:val="21"/>
                <w:szCs w:val="21"/>
              </w:rPr>
              <w:t>审字[20</w:t>
            </w:r>
            <w:r>
              <w:rPr>
                <w:rFonts w:hint="eastAsia"/>
                <w:sz w:val="21"/>
                <w:szCs w:val="21"/>
              </w:rPr>
              <w:t>20</w:t>
            </w:r>
            <w:r>
              <w:rPr>
                <w:sz w:val="21"/>
                <w:szCs w:val="21"/>
              </w:rPr>
              <w:t>]</w:t>
            </w:r>
            <w:r>
              <w:rPr>
                <w:rFonts w:hint="eastAsia"/>
                <w:sz w:val="21"/>
                <w:szCs w:val="21"/>
              </w:rPr>
              <w:t>057</w:t>
            </w:r>
            <w:r>
              <w:rPr>
                <w:sz w:val="21"/>
                <w:szCs w:val="21"/>
              </w:rPr>
              <w:t>号</w:t>
            </w:r>
          </w:p>
        </w:tc>
        <w:tc>
          <w:tcPr>
            <w:tcW w:w="1776" w:type="dxa"/>
            <w:gridSpan w:val="3"/>
            <w:tcBorders>
              <w:top w:val="single" w:color="auto" w:sz="4" w:space="0"/>
              <w:left w:val="single" w:color="auto" w:sz="4" w:space="0"/>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环评文件类型</w:t>
            </w:r>
          </w:p>
        </w:tc>
        <w:tc>
          <w:tcPr>
            <w:tcW w:w="2950" w:type="dxa"/>
            <w:gridSpan w:val="5"/>
            <w:tcBorders>
              <w:top w:val="single" w:color="auto" w:sz="4" w:space="0"/>
              <w:lef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环境影响报告表</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24" w:hRule="atLeast"/>
          <w:jc w:val="center"/>
        </w:trPr>
        <w:tc>
          <w:tcPr>
            <w:tcW w:w="1932" w:type="dxa"/>
            <w:gridSpan w:val="2"/>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开工日期</w:t>
            </w:r>
          </w:p>
        </w:tc>
        <w:tc>
          <w:tcPr>
            <w:tcW w:w="2787" w:type="dxa"/>
            <w:gridSpan w:val="5"/>
            <w:vAlign w:val="center"/>
          </w:tcPr>
          <w:p>
            <w:pPr>
              <w:spacing w:line="0" w:lineRule="atLeast"/>
              <w:ind w:left="-120" w:leftChars="-50" w:right="-120" w:rightChars="-50" w:firstLine="0" w:firstLineChars="0"/>
              <w:jc w:val="center"/>
              <w:rPr>
                <w:kern w:val="0"/>
                <w:sz w:val="21"/>
                <w:szCs w:val="21"/>
              </w:rPr>
            </w:pPr>
            <w:r>
              <w:rPr>
                <w:kern w:val="0"/>
                <w:sz w:val="21"/>
                <w:szCs w:val="21"/>
              </w:rPr>
              <w:t>2020年11月</w:t>
            </w:r>
          </w:p>
        </w:tc>
        <w:tc>
          <w:tcPr>
            <w:tcW w:w="1914" w:type="dxa"/>
            <w:gridSpan w:val="3"/>
            <w:tcBorders>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竣工日期</w:t>
            </w:r>
          </w:p>
        </w:tc>
        <w:tc>
          <w:tcPr>
            <w:tcW w:w="2815" w:type="dxa"/>
            <w:gridSpan w:val="6"/>
            <w:tcBorders>
              <w:left w:val="single" w:color="auto" w:sz="4" w:space="0"/>
              <w:righ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2021年3月</w:t>
            </w:r>
          </w:p>
        </w:tc>
        <w:tc>
          <w:tcPr>
            <w:tcW w:w="1776" w:type="dxa"/>
            <w:gridSpan w:val="3"/>
            <w:tcBorders>
              <w:left w:val="single" w:color="auto" w:sz="4" w:space="0"/>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排污许可证</w:t>
            </w:r>
          </w:p>
          <w:p>
            <w:pPr>
              <w:spacing w:line="0" w:lineRule="atLeast"/>
              <w:ind w:left="-120" w:leftChars="-50" w:right="-120" w:rightChars="-50" w:firstLine="0" w:firstLineChars="0"/>
              <w:jc w:val="center"/>
              <w:rPr>
                <w:b/>
                <w:bCs/>
                <w:kern w:val="0"/>
                <w:sz w:val="21"/>
                <w:szCs w:val="21"/>
              </w:rPr>
            </w:pPr>
            <w:r>
              <w:rPr>
                <w:b/>
                <w:bCs/>
                <w:kern w:val="0"/>
                <w:sz w:val="21"/>
                <w:szCs w:val="21"/>
              </w:rPr>
              <w:t>申领时间</w:t>
            </w:r>
          </w:p>
        </w:tc>
        <w:tc>
          <w:tcPr>
            <w:tcW w:w="2950" w:type="dxa"/>
            <w:gridSpan w:val="5"/>
            <w:tcBorders>
              <w:lef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24" w:hRule="atLeast"/>
          <w:jc w:val="center"/>
        </w:trPr>
        <w:tc>
          <w:tcPr>
            <w:tcW w:w="1932" w:type="dxa"/>
            <w:gridSpan w:val="2"/>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环保设施设计单位</w:t>
            </w:r>
          </w:p>
        </w:tc>
        <w:tc>
          <w:tcPr>
            <w:tcW w:w="2787" w:type="dxa"/>
            <w:gridSpan w:val="5"/>
            <w:vAlign w:val="center"/>
          </w:tcPr>
          <w:p>
            <w:pPr>
              <w:spacing w:line="0" w:lineRule="atLeast"/>
              <w:ind w:left="-120" w:leftChars="-50" w:right="-120" w:rightChars="-50" w:firstLine="0" w:firstLineChars="0"/>
              <w:jc w:val="center"/>
              <w:rPr>
                <w:kern w:val="0"/>
                <w:sz w:val="21"/>
                <w:szCs w:val="21"/>
              </w:rPr>
            </w:pPr>
            <w:r>
              <w:rPr>
                <w:kern w:val="0"/>
                <w:sz w:val="21"/>
                <w:szCs w:val="21"/>
              </w:rPr>
              <w:t>/</w:t>
            </w:r>
          </w:p>
        </w:tc>
        <w:tc>
          <w:tcPr>
            <w:tcW w:w="1914" w:type="dxa"/>
            <w:gridSpan w:val="3"/>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环保设施施工单位</w:t>
            </w:r>
          </w:p>
        </w:tc>
        <w:tc>
          <w:tcPr>
            <w:tcW w:w="2815" w:type="dxa"/>
            <w:gridSpan w:val="6"/>
            <w:tcBorders>
              <w:righ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w:t>
            </w:r>
          </w:p>
        </w:tc>
        <w:tc>
          <w:tcPr>
            <w:tcW w:w="1776" w:type="dxa"/>
            <w:gridSpan w:val="3"/>
            <w:tcBorders>
              <w:left w:val="single" w:color="auto" w:sz="4" w:space="0"/>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本工程排污</w:t>
            </w:r>
          </w:p>
          <w:p>
            <w:pPr>
              <w:spacing w:line="0" w:lineRule="atLeast"/>
              <w:ind w:left="-120" w:leftChars="-50" w:right="-120" w:rightChars="-50" w:firstLine="0" w:firstLineChars="0"/>
              <w:jc w:val="center"/>
              <w:rPr>
                <w:b/>
                <w:bCs/>
                <w:kern w:val="0"/>
                <w:sz w:val="21"/>
                <w:szCs w:val="21"/>
              </w:rPr>
            </w:pPr>
            <w:r>
              <w:rPr>
                <w:b/>
                <w:bCs/>
                <w:kern w:val="0"/>
                <w:sz w:val="21"/>
                <w:szCs w:val="21"/>
              </w:rPr>
              <w:t>许可证编号</w:t>
            </w:r>
          </w:p>
        </w:tc>
        <w:tc>
          <w:tcPr>
            <w:tcW w:w="2950" w:type="dxa"/>
            <w:gridSpan w:val="5"/>
            <w:tcBorders>
              <w:left w:val="single" w:color="auto" w:sz="4" w:space="0"/>
            </w:tcBorders>
            <w:vAlign w:val="center"/>
          </w:tcPr>
          <w:p>
            <w:pPr>
              <w:spacing w:line="0" w:lineRule="atLeast"/>
              <w:ind w:left="-120" w:leftChars="-50" w:right="-120" w:rightChars="-50" w:firstLine="0" w:firstLineChars="0"/>
              <w:jc w:val="center"/>
              <w:rPr>
                <w:kern w:val="0"/>
                <w:sz w:val="21"/>
                <w:szCs w:val="21"/>
              </w:rPr>
            </w:pPr>
            <w: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24" w:hRule="atLeast"/>
          <w:jc w:val="center"/>
        </w:trPr>
        <w:tc>
          <w:tcPr>
            <w:tcW w:w="1932" w:type="dxa"/>
            <w:gridSpan w:val="2"/>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验收单位</w:t>
            </w:r>
          </w:p>
        </w:tc>
        <w:tc>
          <w:tcPr>
            <w:tcW w:w="2787" w:type="dxa"/>
            <w:gridSpan w:val="5"/>
            <w:vAlign w:val="center"/>
          </w:tcPr>
          <w:p>
            <w:pPr>
              <w:spacing w:line="0" w:lineRule="atLeast"/>
              <w:ind w:left="-120" w:leftChars="-50" w:right="-120" w:rightChars="-50" w:firstLine="0" w:firstLineChars="0"/>
              <w:jc w:val="center"/>
              <w:rPr>
                <w:kern w:val="0"/>
                <w:sz w:val="21"/>
                <w:szCs w:val="21"/>
              </w:rPr>
            </w:pPr>
            <w:r>
              <w:rPr>
                <w:kern w:val="0"/>
                <w:sz w:val="21"/>
                <w:szCs w:val="21"/>
              </w:rPr>
              <w:t>辽宁省环保集团辐洁生态环境有限公司</w:t>
            </w:r>
          </w:p>
        </w:tc>
        <w:tc>
          <w:tcPr>
            <w:tcW w:w="1914" w:type="dxa"/>
            <w:gridSpan w:val="3"/>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环保设施监测单位</w:t>
            </w:r>
          </w:p>
        </w:tc>
        <w:tc>
          <w:tcPr>
            <w:tcW w:w="2815" w:type="dxa"/>
            <w:gridSpan w:val="6"/>
            <w:tcBorders>
              <w:right w:val="single" w:color="auto" w:sz="4" w:space="0"/>
            </w:tcBorders>
            <w:vAlign w:val="center"/>
          </w:tcPr>
          <w:p>
            <w:pPr>
              <w:spacing w:line="0" w:lineRule="atLeast"/>
              <w:ind w:left="-120" w:leftChars="-50" w:right="-120" w:rightChars="-50" w:firstLine="0" w:firstLineChars="0"/>
              <w:jc w:val="center"/>
              <w:rPr>
                <w:kern w:val="0"/>
                <w:sz w:val="21"/>
                <w:szCs w:val="21"/>
                <w:highlight w:val="yellow"/>
              </w:rPr>
            </w:pPr>
            <w:r>
              <w:rPr>
                <w:rFonts w:hint="eastAsia"/>
                <w:kern w:val="0"/>
                <w:sz w:val="21"/>
                <w:szCs w:val="21"/>
              </w:rPr>
              <w:t>沈阳市绿橙环境监测有限公司</w:t>
            </w:r>
          </w:p>
        </w:tc>
        <w:tc>
          <w:tcPr>
            <w:tcW w:w="1776" w:type="dxa"/>
            <w:gridSpan w:val="3"/>
            <w:tcBorders>
              <w:left w:val="single" w:color="auto" w:sz="4" w:space="0"/>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验收监测时工况</w:t>
            </w:r>
          </w:p>
        </w:tc>
        <w:tc>
          <w:tcPr>
            <w:tcW w:w="2950" w:type="dxa"/>
            <w:gridSpan w:val="5"/>
            <w:tcBorders>
              <w:lef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环保实施稳定运行</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24" w:hRule="atLeast"/>
          <w:jc w:val="center"/>
        </w:trPr>
        <w:tc>
          <w:tcPr>
            <w:tcW w:w="1932" w:type="dxa"/>
            <w:gridSpan w:val="2"/>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投资总概算</w:t>
            </w:r>
          </w:p>
          <w:p>
            <w:pPr>
              <w:spacing w:line="0" w:lineRule="atLeast"/>
              <w:ind w:left="-120" w:leftChars="-50" w:right="-120" w:rightChars="-50" w:firstLine="0" w:firstLineChars="0"/>
              <w:jc w:val="center"/>
              <w:rPr>
                <w:b/>
                <w:bCs/>
                <w:kern w:val="0"/>
                <w:sz w:val="21"/>
                <w:szCs w:val="21"/>
              </w:rPr>
            </w:pPr>
            <w:r>
              <w:rPr>
                <w:b/>
                <w:bCs/>
                <w:kern w:val="0"/>
                <w:sz w:val="21"/>
                <w:szCs w:val="21"/>
              </w:rPr>
              <w:t>（万元）</w:t>
            </w:r>
          </w:p>
        </w:tc>
        <w:tc>
          <w:tcPr>
            <w:tcW w:w="2787" w:type="dxa"/>
            <w:gridSpan w:val="5"/>
            <w:vAlign w:val="center"/>
          </w:tcPr>
          <w:p>
            <w:pPr>
              <w:spacing w:line="0" w:lineRule="atLeast"/>
              <w:ind w:left="-120" w:leftChars="-50" w:right="-120" w:rightChars="-50" w:firstLine="0" w:firstLineChars="0"/>
              <w:jc w:val="center"/>
              <w:rPr>
                <w:kern w:val="0"/>
                <w:sz w:val="21"/>
                <w:szCs w:val="21"/>
              </w:rPr>
            </w:pPr>
            <w:r>
              <w:rPr>
                <w:rFonts w:hint="eastAsia"/>
                <w:kern w:val="0"/>
                <w:sz w:val="21"/>
                <w:szCs w:val="21"/>
              </w:rPr>
              <w:t>4200</w:t>
            </w:r>
          </w:p>
        </w:tc>
        <w:tc>
          <w:tcPr>
            <w:tcW w:w="1914" w:type="dxa"/>
            <w:gridSpan w:val="3"/>
            <w:tcBorders>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环保投资概算</w:t>
            </w:r>
          </w:p>
          <w:p>
            <w:pPr>
              <w:spacing w:line="0" w:lineRule="atLeast"/>
              <w:ind w:left="-120" w:leftChars="-50" w:right="-120" w:rightChars="-50" w:firstLine="0" w:firstLineChars="0"/>
              <w:jc w:val="center"/>
              <w:rPr>
                <w:b/>
                <w:bCs/>
                <w:kern w:val="0"/>
                <w:sz w:val="21"/>
                <w:szCs w:val="21"/>
              </w:rPr>
            </w:pPr>
            <w:r>
              <w:rPr>
                <w:b/>
                <w:bCs/>
                <w:kern w:val="0"/>
                <w:sz w:val="21"/>
                <w:szCs w:val="21"/>
              </w:rPr>
              <w:t>（万元）</w:t>
            </w:r>
          </w:p>
        </w:tc>
        <w:tc>
          <w:tcPr>
            <w:tcW w:w="2815" w:type="dxa"/>
            <w:gridSpan w:val="6"/>
            <w:tcBorders>
              <w:left w:val="single" w:color="auto" w:sz="4" w:space="0"/>
            </w:tcBorders>
            <w:vAlign w:val="center"/>
          </w:tcPr>
          <w:p>
            <w:pPr>
              <w:spacing w:line="0" w:lineRule="atLeast"/>
              <w:ind w:left="-120" w:leftChars="-50" w:right="-120" w:rightChars="-50" w:firstLine="0" w:firstLineChars="0"/>
              <w:jc w:val="center"/>
              <w:rPr>
                <w:kern w:val="0"/>
                <w:sz w:val="21"/>
                <w:szCs w:val="21"/>
              </w:rPr>
            </w:pPr>
            <w:r>
              <w:rPr>
                <w:rFonts w:hint="eastAsia"/>
                <w:kern w:val="0"/>
                <w:sz w:val="21"/>
                <w:szCs w:val="21"/>
              </w:rPr>
              <w:t>15</w:t>
            </w:r>
          </w:p>
        </w:tc>
        <w:tc>
          <w:tcPr>
            <w:tcW w:w="1776" w:type="dxa"/>
            <w:gridSpan w:val="3"/>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所占比例（%）</w:t>
            </w:r>
          </w:p>
        </w:tc>
        <w:tc>
          <w:tcPr>
            <w:tcW w:w="2950" w:type="dxa"/>
            <w:gridSpan w:val="5"/>
            <w:vAlign w:val="center"/>
          </w:tcPr>
          <w:p>
            <w:pPr>
              <w:spacing w:line="0" w:lineRule="atLeast"/>
              <w:ind w:left="-120" w:leftChars="-50" w:right="-120" w:rightChars="-50" w:firstLine="0" w:firstLineChars="0"/>
              <w:jc w:val="center"/>
              <w:rPr>
                <w:kern w:val="0"/>
                <w:sz w:val="21"/>
                <w:szCs w:val="21"/>
              </w:rPr>
            </w:pPr>
            <w:r>
              <w:rPr>
                <w:kern w:val="0"/>
                <w:sz w:val="21"/>
                <w:szCs w:val="21"/>
              </w:rPr>
              <w:t>0.36</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24" w:hRule="atLeast"/>
          <w:jc w:val="center"/>
        </w:trPr>
        <w:tc>
          <w:tcPr>
            <w:tcW w:w="1932" w:type="dxa"/>
            <w:gridSpan w:val="2"/>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实际总投资</w:t>
            </w:r>
          </w:p>
          <w:p>
            <w:pPr>
              <w:spacing w:line="0" w:lineRule="atLeast"/>
              <w:ind w:left="-120" w:leftChars="-50" w:right="-120" w:rightChars="-50" w:firstLine="0" w:firstLineChars="0"/>
              <w:jc w:val="center"/>
              <w:rPr>
                <w:b/>
                <w:bCs/>
                <w:kern w:val="0"/>
                <w:sz w:val="21"/>
                <w:szCs w:val="21"/>
              </w:rPr>
            </w:pPr>
            <w:r>
              <w:rPr>
                <w:b/>
                <w:bCs/>
                <w:kern w:val="0"/>
                <w:sz w:val="21"/>
                <w:szCs w:val="21"/>
              </w:rPr>
              <w:t>（万元）</w:t>
            </w:r>
          </w:p>
        </w:tc>
        <w:tc>
          <w:tcPr>
            <w:tcW w:w="2787" w:type="dxa"/>
            <w:gridSpan w:val="5"/>
            <w:vAlign w:val="center"/>
          </w:tcPr>
          <w:p>
            <w:pPr>
              <w:spacing w:line="0" w:lineRule="atLeast"/>
              <w:ind w:left="-120" w:leftChars="-50" w:right="-120" w:rightChars="-50" w:firstLine="0" w:firstLineChars="0"/>
              <w:jc w:val="center"/>
              <w:rPr>
                <w:kern w:val="0"/>
                <w:sz w:val="21"/>
                <w:szCs w:val="21"/>
              </w:rPr>
            </w:pPr>
            <w:r>
              <w:rPr>
                <w:rFonts w:hint="eastAsia"/>
                <w:kern w:val="0"/>
                <w:sz w:val="21"/>
                <w:szCs w:val="21"/>
              </w:rPr>
              <w:t>4200</w:t>
            </w:r>
          </w:p>
        </w:tc>
        <w:tc>
          <w:tcPr>
            <w:tcW w:w="1914" w:type="dxa"/>
            <w:gridSpan w:val="3"/>
            <w:tcBorders>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实际环保投资</w:t>
            </w:r>
          </w:p>
          <w:p>
            <w:pPr>
              <w:spacing w:line="0" w:lineRule="atLeast"/>
              <w:ind w:left="-120" w:leftChars="-50" w:right="-120" w:rightChars="-50" w:firstLine="0" w:firstLineChars="0"/>
              <w:jc w:val="center"/>
              <w:rPr>
                <w:b/>
                <w:bCs/>
                <w:kern w:val="0"/>
                <w:sz w:val="21"/>
                <w:szCs w:val="21"/>
              </w:rPr>
            </w:pPr>
            <w:r>
              <w:rPr>
                <w:b/>
                <w:bCs/>
                <w:kern w:val="0"/>
                <w:sz w:val="21"/>
                <w:szCs w:val="21"/>
              </w:rPr>
              <w:t>（万元）</w:t>
            </w:r>
          </w:p>
        </w:tc>
        <w:tc>
          <w:tcPr>
            <w:tcW w:w="2815" w:type="dxa"/>
            <w:gridSpan w:val="6"/>
            <w:tcBorders>
              <w:lef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18</w:t>
            </w:r>
          </w:p>
        </w:tc>
        <w:tc>
          <w:tcPr>
            <w:tcW w:w="1776" w:type="dxa"/>
            <w:gridSpan w:val="3"/>
            <w:tcBorders>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所占比例（%）</w:t>
            </w:r>
          </w:p>
        </w:tc>
        <w:tc>
          <w:tcPr>
            <w:tcW w:w="2950" w:type="dxa"/>
            <w:gridSpan w:val="5"/>
            <w:tcBorders>
              <w:left w:val="single" w:color="auto" w:sz="4" w:space="0"/>
            </w:tcBorders>
            <w:vAlign w:val="center"/>
          </w:tcPr>
          <w:p>
            <w:pPr>
              <w:spacing w:line="0" w:lineRule="atLeast"/>
              <w:ind w:left="-120" w:leftChars="-50" w:right="-120" w:rightChars="-50" w:firstLine="0" w:firstLineChars="0"/>
              <w:jc w:val="center"/>
              <w:rPr>
                <w:kern w:val="0"/>
                <w:sz w:val="21"/>
                <w:szCs w:val="21"/>
                <w:highlight w:val="yellow"/>
              </w:rPr>
            </w:pPr>
            <w:r>
              <w:rPr>
                <w:kern w:val="0"/>
                <w:sz w:val="21"/>
                <w:szCs w:val="21"/>
              </w:rPr>
              <w:t>0.43</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24" w:hRule="atLeast"/>
          <w:jc w:val="center"/>
        </w:trPr>
        <w:tc>
          <w:tcPr>
            <w:tcW w:w="1932" w:type="dxa"/>
            <w:gridSpan w:val="2"/>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废水治理</w:t>
            </w:r>
          </w:p>
          <w:p>
            <w:pPr>
              <w:spacing w:line="0" w:lineRule="atLeast"/>
              <w:ind w:left="-120" w:leftChars="-50" w:right="-120" w:rightChars="-50" w:firstLine="0" w:firstLineChars="0"/>
              <w:jc w:val="center"/>
              <w:rPr>
                <w:b/>
                <w:bCs/>
                <w:kern w:val="0"/>
                <w:sz w:val="21"/>
                <w:szCs w:val="21"/>
              </w:rPr>
            </w:pPr>
            <w:r>
              <w:rPr>
                <w:b/>
                <w:bCs/>
                <w:kern w:val="0"/>
                <w:sz w:val="21"/>
                <w:szCs w:val="21"/>
              </w:rPr>
              <w:t>（万元）</w:t>
            </w:r>
          </w:p>
        </w:tc>
        <w:tc>
          <w:tcPr>
            <w:tcW w:w="559" w:type="dxa"/>
            <w:tcBorders>
              <w:right w:val="single" w:color="auto" w:sz="4" w:space="0"/>
            </w:tcBorders>
            <w:vAlign w:val="center"/>
          </w:tcPr>
          <w:p>
            <w:pPr>
              <w:spacing w:line="0" w:lineRule="atLeast"/>
              <w:ind w:left="-120" w:leftChars="-50" w:right="-120" w:rightChars="-50" w:firstLine="0" w:firstLineChars="0"/>
              <w:jc w:val="center"/>
              <w:rPr>
                <w:kern w:val="0"/>
                <w:sz w:val="21"/>
                <w:szCs w:val="21"/>
              </w:rPr>
            </w:pPr>
            <w:r>
              <w:rPr>
                <w:rFonts w:hint="eastAsia"/>
                <w:kern w:val="0"/>
                <w:sz w:val="21"/>
                <w:szCs w:val="21"/>
              </w:rPr>
              <w:t>/</w:t>
            </w:r>
          </w:p>
        </w:tc>
        <w:tc>
          <w:tcPr>
            <w:tcW w:w="1637" w:type="dxa"/>
            <w:gridSpan w:val="3"/>
            <w:tcBorders>
              <w:left w:val="single" w:color="auto" w:sz="4" w:space="0"/>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废气治理</w:t>
            </w:r>
          </w:p>
          <w:p>
            <w:pPr>
              <w:spacing w:line="0" w:lineRule="atLeast"/>
              <w:ind w:left="-120" w:leftChars="-50" w:right="-120" w:rightChars="-50" w:firstLine="0" w:firstLineChars="0"/>
              <w:jc w:val="center"/>
              <w:rPr>
                <w:kern w:val="0"/>
                <w:sz w:val="21"/>
                <w:szCs w:val="21"/>
              </w:rPr>
            </w:pPr>
            <w:r>
              <w:rPr>
                <w:b/>
                <w:bCs/>
                <w:kern w:val="0"/>
                <w:sz w:val="21"/>
                <w:szCs w:val="21"/>
              </w:rPr>
              <w:t>（万元）</w:t>
            </w:r>
          </w:p>
        </w:tc>
        <w:tc>
          <w:tcPr>
            <w:tcW w:w="591" w:type="dxa"/>
            <w:tcBorders>
              <w:left w:val="single" w:color="auto" w:sz="4" w:space="0"/>
              <w:righ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12</w:t>
            </w:r>
          </w:p>
        </w:tc>
        <w:tc>
          <w:tcPr>
            <w:tcW w:w="1914" w:type="dxa"/>
            <w:gridSpan w:val="3"/>
            <w:tcBorders>
              <w:left w:val="single" w:color="auto" w:sz="4" w:space="0"/>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噪声治理</w:t>
            </w:r>
          </w:p>
          <w:p>
            <w:pPr>
              <w:spacing w:line="0" w:lineRule="atLeast"/>
              <w:ind w:left="-120" w:leftChars="-50" w:right="-120" w:rightChars="-50" w:firstLine="0" w:firstLineChars="0"/>
              <w:jc w:val="center"/>
              <w:rPr>
                <w:kern w:val="0"/>
                <w:sz w:val="21"/>
                <w:szCs w:val="21"/>
              </w:rPr>
            </w:pPr>
            <w:r>
              <w:rPr>
                <w:b/>
                <w:bCs/>
                <w:kern w:val="0"/>
                <w:sz w:val="21"/>
                <w:szCs w:val="21"/>
              </w:rPr>
              <w:t>（万元）</w:t>
            </w:r>
          </w:p>
        </w:tc>
        <w:tc>
          <w:tcPr>
            <w:tcW w:w="645" w:type="dxa"/>
            <w:gridSpan w:val="2"/>
            <w:tcBorders>
              <w:left w:val="single" w:color="auto" w:sz="4" w:space="0"/>
              <w:righ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1</w:t>
            </w:r>
          </w:p>
        </w:tc>
        <w:tc>
          <w:tcPr>
            <w:tcW w:w="1609" w:type="dxa"/>
            <w:gridSpan w:val="2"/>
            <w:tcBorders>
              <w:left w:val="single" w:color="auto" w:sz="4" w:space="0"/>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固废治理</w:t>
            </w:r>
          </w:p>
          <w:p>
            <w:pPr>
              <w:spacing w:line="0" w:lineRule="atLeast"/>
              <w:ind w:left="-120" w:leftChars="-50" w:right="-120" w:rightChars="-50" w:firstLine="0" w:firstLineChars="0"/>
              <w:jc w:val="center"/>
              <w:rPr>
                <w:b/>
                <w:bCs/>
                <w:kern w:val="0"/>
                <w:sz w:val="21"/>
                <w:szCs w:val="21"/>
              </w:rPr>
            </w:pPr>
            <w:r>
              <w:rPr>
                <w:b/>
                <w:bCs/>
                <w:kern w:val="0"/>
                <w:sz w:val="21"/>
                <w:szCs w:val="21"/>
              </w:rPr>
              <w:t>（万元）</w:t>
            </w:r>
          </w:p>
        </w:tc>
        <w:tc>
          <w:tcPr>
            <w:tcW w:w="561" w:type="dxa"/>
            <w:gridSpan w:val="2"/>
            <w:tcBorders>
              <w:lef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5</w:t>
            </w:r>
          </w:p>
        </w:tc>
        <w:tc>
          <w:tcPr>
            <w:tcW w:w="1776" w:type="dxa"/>
            <w:gridSpan w:val="3"/>
            <w:tcBorders>
              <w:righ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绿化及生态（万元）</w:t>
            </w:r>
          </w:p>
        </w:tc>
        <w:tc>
          <w:tcPr>
            <w:tcW w:w="1236" w:type="dxa"/>
            <w:gridSpan w:val="2"/>
            <w:tcBorders>
              <w:left w:val="single" w:color="auto" w:sz="4" w:space="0"/>
              <w:righ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w:t>
            </w:r>
          </w:p>
        </w:tc>
        <w:tc>
          <w:tcPr>
            <w:tcW w:w="1172" w:type="dxa"/>
            <w:gridSpan w:val="2"/>
            <w:tcBorders>
              <w:left w:val="single" w:color="auto" w:sz="4" w:space="0"/>
              <w:righ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其他</w:t>
            </w:r>
          </w:p>
        </w:tc>
        <w:tc>
          <w:tcPr>
            <w:tcW w:w="542" w:type="dxa"/>
            <w:tcBorders>
              <w:lef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0</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24" w:hRule="atLeast"/>
          <w:jc w:val="center"/>
        </w:trPr>
        <w:tc>
          <w:tcPr>
            <w:tcW w:w="1932" w:type="dxa"/>
            <w:gridSpan w:val="2"/>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新增废水处</w:t>
            </w:r>
          </w:p>
          <w:p>
            <w:pPr>
              <w:spacing w:line="0" w:lineRule="atLeast"/>
              <w:ind w:left="-120" w:leftChars="-50" w:right="-120" w:rightChars="-50" w:firstLine="0" w:firstLineChars="0"/>
              <w:jc w:val="center"/>
              <w:rPr>
                <w:b/>
                <w:bCs/>
                <w:kern w:val="0"/>
                <w:sz w:val="21"/>
                <w:szCs w:val="21"/>
              </w:rPr>
            </w:pPr>
            <w:r>
              <w:rPr>
                <w:b/>
                <w:bCs/>
                <w:kern w:val="0"/>
                <w:sz w:val="21"/>
                <w:szCs w:val="21"/>
              </w:rPr>
              <w:t>理设施能力</w:t>
            </w:r>
          </w:p>
        </w:tc>
        <w:tc>
          <w:tcPr>
            <w:tcW w:w="2787" w:type="dxa"/>
            <w:gridSpan w:val="5"/>
            <w:tcBorders>
              <w:right w:val="single" w:color="auto" w:sz="4" w:space="0"/>
            </w:tcBorders>
            <w:vAlign w:val="center"/>
          </w:tcPr>
          <w:p>
            <w:pPr>
              <w:spacing w:line="0" w:lineRule="atLeast"/>
              <w:ind w:left="-120" w:leftChars="-50" w:right="-120" w:rightChars="-50" w:firstLine="0" w:firstLineChars="0"/>
              <w:jc w:val="center"/>
              <w:rPr>
                <w:kern w:val="0"/>
                <w:sz w:val="21"/>
                <w:szCs w:val="21"/>
              </w:rPr>
            </w:pPr>
            <w:r>
              <w:rPr>
                <w:kern w:val="0"/>
                <w:sz w:val="21"/>
                <w:szCs w:val="21"/>
              </w:rPr>
              <w:t>——</w:t>
            </w:r>
          </w:p>
        </w:tc>
        <w:tc>
          <w:tcPr>
            <w:tcW w:w="1914" w:type="dxa"/>
            <w:gridSpan w:val="3"/>
            <w:tcBorders>
              <w:left w:val="single" w:color="auto" w:sz="4" w:space="0"/>
            </w:tcBorders>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新增废气处</w:t>
            </w:r>
          </w:p>
          <w:p>
            <w:pPr>
              <w:spacing w:line="0" w:lineRule="atLeast"/>
              <w:ind w:left="-120" w:leftChars="-50" w:right="-120" w:rightChars="-50" w:firstLine="0" w:firstLineChars="0"/>
              <w:jc w:val="center"/>
              <w:rPr>
                <w:b/>
                <w:bCs/>
                <w:kern w:val="0"/>
                <w:sz w:val="21"/>
                <w:szCs w:val="21"/>
              </w:rPr>
            </w:pPr>
            <w:r>
              <w:rPr>
                <w:b/>
                <w:bCs/>
                <w:kern w:val="0"/>
                <w:sz w:val="21"/>
                <w:szCs w:val="21"/>
              </w:rPr>
              <w:t>理设施能力</w:t>
            </w:r>
          </w:p>
        </w:tc>
        <w:tc>
          <w:tcPr>
            <w:tcW w:w="2815" w:type="dxa"/>
            <w:gridSpan w:val="6"/>
            <w:vAlign w:val="center"/>
          </w:tcPr>
          <w:p>
            <w:pPr>
              <w:spacing w:line="0" w:lineRule="atLeast"/>
              <w:ind w:left="-120" w:leftChars="-50" w:right="-120" w:rightChars="-50" w:firstLine="0" w:firstLineChars="0"/>
              <w:jc w:val="center"/>
              <w:rPr>
                <w:kern w:val="0"/>
                <w:sz w:val="21"/>
                <w:szCs w:val="21"/>
              </w:rPr>
            </w:pPr>
            <w:r>
              <w:rPr>
                <w:kern w:val="0"/>
                <w:sz w:val="21"/>
                <w:szCs w:val="21"/>
              </w:rPr>
              <w:t>——</w:t>
            </w:r>
          </w:p>
        </w:tc>
        <w:tc>
          <w:tcPr>
            <w:tcW w:w="1776" w:type="dxa"/>
            <w:gridSpan w:val="3"/>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年平均工作时间</w:t>
            </w:r>
          </w:p>
        </w:tc>
        <w:tc>
          <w:tcPr>
            <w:tcW w:w="2950" w:type="dxa"/>
            <w:gridSpan w:val="5"/>
            <w:vAlign w:val="center"/>
          </w:tcPr>
          <w:p>
            <w:pPr>
              <w:spacing w:line="0" w:lineRule="atLeast"/>
              <w:ind w:left="-120" w:leftChars="-50" w:right="-120" w:rightChars="-50" w:firstLine="0" w:firstLineChars="0"/>
              <w:jc w:val="center"/>
              <w:rPr>
                <w:kern w:val="0"/>
                <w:sz w:val="21"/>
                <w:szCs w:val="21"/>
              </w:rPr>
            </w:pPr>
            <w:r>
              <w:rPr>
                <w:kern w:val="0"/>
                <w:sz w:val="21"/>
                <w:szCs w:val="21"/>
              </w:rPr>
              <w:t>2000</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24" w:hRule="atLeast"/>
          <w:jc w:val="center"/>
        </w:trPr>
        <w:tc>
          <w:tcPr>
            <w:tcW w:w="1932" w:type="dxa"/>
            <w:gridSpan w:val="2"/>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运营单位</w:t>
            </w:r>
          </w:p>
        </w:tc>
        <w:tc>
          <w:tcPr>
            <w:tcW w:w="2787" w:type="dxa"/>
            <w:gridSpan w:val="5"/>
            <w:vAlign w:val="center"/>
          </w:tcPr>
          <w:p>
            <w:pPr>
              <w:spacing w:line="0" w:lineRule="atLeast"/>
              <w:ind w:left="-120" w:leftChars="-50" w:right="-120" w:rightChars="-50" w:firstLine="0" w:firstLineChars="0"/>
              <w:jc w:val="center"/>
              <w:rPr>
                <w:kern w:val="0"/>
                <w:sz w:val="21"/>
                <w:szCs w:val="21"/>
              </w:rPr>
            </w:pPr>
            <w:r>
              <w:rPr>
                <w:kern w:val="0"/>
                <w:sz w:val="21"/>
                <w:szCs w:val="21"/>
              </w:rPr>
              <w:t>沈阳造币有限公司</w:t>
            </w:r>
          </w:p>
        </w:tc>
        <w:tc>
          <w:tcPr>
            <w:tcW w:w="1914" w:type="dxa"/>
            <w:gridSpan w:val="3"/>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运营单位统</w:t>
            </w:r>
          </w:p>
          <w:p>
            <w:pPr>
              <w:spacing w:line="0" w:lineRule="atLeast"/>
              <w:ind w:left="-120" w:leftChars="-50" w:right="-120" w:rightChars="-50" w:firstLine="0" w:firstLineChars="0"/>
              <w:jc w:val="center"/>
              <w:rPr>
                <w:kern w:val="0"/>
                <w:sz w:val="21"/>
                <w:szCs w:val="21"/>
              </w:rPr>
            </w:pPr>
            <w:r>
              <w:rPr>
                <w:b/>
                <w:bCs/>
                <w:kern w:val="0"/>
                <w:sz w:val="21"/>
                <w:szCs w:val="21"/>
              </w:rPr>
              <w:t>一信用代码</w:t>
            </w:r>
          </w:p>
        </w:tc>
        <w:tc>
          <w:tcPr>
            <w:tcW w:w="2815" w:type="dxa"/>
            <w:gridSpan w:val="6"/>
            <w:vAlign w:val="center"/>
          </w:tcPr>
          <w:p>
            <w:pPr>
              <w:spacing w:line="0" w:lineRule="atLeast"/>
              <w:ind w:left="-120" w:leftChars="-50" w:right="-120" w:rightChars="-50" w:firstLine="0" w:firstLineChars="0"/>
              <w:jc w:val="center"/>
              <w:rPr>
                <w:kern w:val="0"/>
                <w:sz w:val="21"/>
                <w:szCs w:val="21"/>
              </w:rPr>
            </w:pPr>
            <w:r>
              <w:rPr>
                <w:kern w:val="0"/>
                <w:sz w:val="21"/>
                <w:szCs w:val="21"/>
              </w:rPr>
              <w:t>91210</w:t>
            </w:r>
            <w:r>
              <w:rPr>
                <w:rFonts w:hint="eastAsia"/>
                <w:kern w:val="0"/>
                <w:sz w:val="21"/>
                <w:szCs w:val="21"/>
              </w:rPr>
              <w:t>1</w:t>
            </w:r>
            <w:r>
              <w:rPr>
                <w:kern w:val="0"/>
                <w:sz w:val="21"/>
                <w:szCs w:val="21"/>
              </w:rPr>
              <w:t>00</w:t>
            </w:r>
            <w:r>
              <w:rPr>
                <w:rFonts w:hint="eastAsia"/>
                <w:kern w:val="0"/>
                <w:sz w:val="21"/>
                <w:szCs w:val="21"/>
              </w:rPr>
              <w:t>11766146XY</w:t>
            </w:r>
          </w:p>
        </w:tc>
        <w:tc>
          <w:tcPr>
            <w:tcW w:w="1776" w:type="dxa"/>
            <w:gridSpan w:val="3"/>
            <w:vAlign w:val="center"/>
          </w:tcPr>
          <w:p>
            <w:pPr>
              <w:spacing w:line="0" w:lineRule="atLeast"/>
              <w:ind w:left="-120" w:leftChars="-50" w:right="-120" w:rightChars="-50" w:firstLine="0" w:firstLineChars="0"/>
              <w:jc w:val="center"/>
              <w:rPr>
                <w:b/>
                <w:bCs/>
                <w:kern w:val="0"/>
                <w:sz w:val="21"/>
                <w:szCs w:val="21"/>
              </w:rPr>
            </w:pPr>
            <w:r>
              <w:rPr>
                <w:b/>
                <w:bCs/>
                <w:kern w:val="0"/>
                <w:sz w:val="21"/>
                <w:szCs w:val="21"/>
              </w:rPr>
              <w:t>验收时间</w:t>
            </w:r>
          </w:p>
        </w:tc>
        <w:tc>
          <w:tcPr>
            <w:tcW w:w="2950" w:type="dxa"/>
            <w:gridSpan w:val="5"/>
            <w:vAlign w:val="center"/>
          </w:tcPr>
          <w:p>
            <w:pPr>
              <w:spacing w:line="0" w:lineRule="atLeast"/>
              <w:ind w:left="-120" w:leftChars="-50" w:right="-120" w:rightChars="-50" w:firstLine="0" w:firstLineChars="0"/>
              <w:jc w:val="center"/>
              <w:rPr>
                <w:kern w:val="0"/>
                <w:sz w:val="21"/>
                <w:szCs w:val="21"/>
              </w:rPr>
            </w:pPr>
            <w:r>
              <w:rPr>
                <w:kern w:val="0"/>
                <w:sz w:val="21"/>
                <w:szCs w:val="21"/>
              </w:rPr>
              <w:t>202</w:t>
            </w:r>
            <w:r>
              <w:rPr>
                <w:rFonts w:hint="eastAsia"/>
                <w:kern w:val="0"/>
                <w:sz w:val="21"/>
                <w:szCs w:val="21"/>
              </w:rPr>
              <w:t>1</w:t>
            </w:r>
            <w:r>
              <w:rPr>
                <w:kern w:val="0"/>
                <w:sz w:val="21"/>
                <w:szCs w:val="21"/>
              </w:rPr>
              <w:t>年</w:t>
            </w:r>
            <w:r>
              <w:rPr>
                <w:rFonts w:hint="eastAsia"/>
                <w:kern w:val="0"/>
                <w:sz w:val="21"/>
                <w:szCs w:val="21"/>
              </w:rPr>
              <w:t>9</w:t>
            </w:r>
            <w:r>
              <w:rPr>
                <w:kern w:val="0"/>
                <w:sz w:val="21"/>
                <w:szCs w:val="21"/>
              </w:rPr>
              <w:t>月</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restart"/>
            <w:tcBorders>
              <w:top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污染物排放达标与总量控制</w:t>
            </w: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污染物</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原  有</w:t>
            </w:r>
          </w:p>
          <w:p>
            <w:pPr>
              <w:spacing w:line="0" w:lineRule="atLeast"/>
              <w:ind w:firstLine="0" w:firstLineChars="0"/>
              <w:jc w:val="center"/>
              <w:rPr>
                <w:kern w:val="0"/>
                <w:sz w:val="21"/>
                <w:szCs w:val="21"/>
              </w:rPr>
            </w:pPr>
            <w:r>
              <w:rPr>
                <w:kern w:val="0"/>
                <w:sz w:val="21"/>
                <w:szCs w:val="21"/>
              </w:rPr>
              <w:t>排放量</w:t>
            </w:r>
          </w:p>
          <w:p>
            <w:pPr>
              <w:spacing w:line="0" w:lineRule="atLeast"/>
              <w:ind w:firstLine="0" w:firstLineChars="0"/>
              <w:jc w:val="center"/>
              <w:rPr>
                <w:kern w:val="0"/>
                <w:sz w:val="21"/>
                <w:szCs w:val="21"/>
              </w:rPr>
            </w:pPr>
            <w:r>
              <w:rPr>
                <w:kern w:val="0"/>
                <w:sz w:val="21"/>
                <w:szCs w:val="21"/>
              </w:rPr>
              <w:t>(1)</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本工程实际排放浓度</w:t>
            </w:r>
          </w:p>
          <w:p>
            <w:pPr>
              <w:spacing w:line="0" w:lineRule="atLeast"/>
              <w:ind w:firstLine="0" w:firstLineChars="0"/>
              <w:jc w:val="center"/>
              <w:rPr>
                <w:kern w:val="0"/>
                <w:sz w:val="21"/>
                <w:szCs w:val="21"/>
              </w:rPr>
            </w:pPr>
            <w:r>
              <w:rPr>
                <w:kern w:val="0"/>
                <w:sz w:val="21"/>
                <w:szCs w:val="21"/>
              </w:rPr>
              <w:t>(2)</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本工程允许排放浓度</w:t>
            </w:r>
          </w:p>
          <w:p>
            <w:pPr>
              <w:spacing w:line="0" w:lineRule="atLeast"/>
              <w:ind w:firstLine="0" w:firstLineChars="0"/>
              <w:jc w:val="center"/>
              <w:rPr>
                <w:kern w:val="0"/>
                <w:sz w:val="21"/>
                <w:szCs w:val="21"/>
              </w:rPr>
            </w:pPr>
            <w:r>
              <w:rPr>
                <w:kern w:val="0"/>
                <w:sz w:val="21"/>
                <w:szCs w:val="21"/>
              </w:rPr>
              <w:t>(3)</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本工程产生量</w:t>
            </w:r>
          </w:p>
          <w:p>
            <w:pPr>
              <w:spacing w:line="0" w:lineRule="atLeast"/>
              <w:ind w:firstLine="0" w:firstLineChars="0"/>
              <w:jc w:val="center"/>
              <w:rPr>
                <w:kern w:val="0"/>
                <w:sz w:val="21"/>
                <w:szCs w:val="21"/>
              </w:rPr>
            </w:pPr>
            <w:r>
              <w:rPr>
                <w:kern w:val="0"/>
                <w:sz w:val="21"/>
                <w:szCs w:val="21"/>
              </w:rPr>
              <w:t>(4)</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本工程自身削减量(5)</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本工程实际排放量</w:t>
            </w:r>
          </w:p>
          <w:p>
            <w:pPr>
              <w:spacing w:line="0" w:lineRule="atLeast"/>
              <w:ind w:firstLine="0" w:firstLineChars="0"/>
              <w:jc w:val="center"/>
              <w:rPr>
                <w:kern w:val="0"/>
                <w:sz w:val="21"/>
                <w:szCs w:val="21"/>
              </w:rPr>
            </w:pPr>
            <w:r>
              <w:rPr>
                <w:kern w:val="0"/>
                <w:sz w:val="21"/>
                <w:szCs w:val="21"/>
              </w:rPr>
              <w:t>(6)</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本工程核定排放量</w:t>
            </w:r>
          </w:p>
          <w:p>
            <w:pPr>
              <w:spacing w:line="0" w:lineRule="atLeast"/>
              <w:ind w:firstLine="0" w:firstLineChars="0"/>
              <w:jc w:val="center"/>
              <w:rPr>
                <w:kern w:val="0"/>
                <w:sz w:val="21"/>
                <w:szCs w:val="21"/>
              </w:rPr>
            </w:pPr>
            <w:r>
              <w:rPr>
                <w:kern w:val="0"/>
                <w:sz w:val="21"/>
                <w:szCs w:val="21"/>
              </w:rPr>
              <w:t>(7)</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以新带老削减量</w:t>
            </w:r>
          </w:p>
          <w:p>
            <w:pPr>
              <w:spacing w:line="0" w:lineRule="atLeast"/>
              <w:ind w:firstLine="0" w:firstLineChars="0"/>
              <w:jc w:val="center"/>
              <w:rPr>
                <w:kern w:val="0"/>
                <w:sz w:val="21"/>
                <w:szCs w:val="21"/>
              </w:rPr>
            </w:pPr>
            <w:r>
              <w:rPr>
                <w:kern w:val="0"/>
                <w:sz w:val="21"/>
                <w:szCs w:val="21"/>
              </w:rPr>
              <w:t>(8)</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全厂实际排放量(9)</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全厂核定排放量10)</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区域平衡替代削减量(11)</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排放增减量（12）</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continue"/>
            <w:tcBorders>
              <w:right w:val="single" w:color="auto" w:sz="4" w:space="0"/>
            </w:tcBorders>
            <w:vAlign w:val="center"/>
          </w:tcPr>
          <w:p>
            <w:pPr>
              <w:spacing w:line="0" w:lineRule="atLeast"/>
              <w:ind w:firstLine="0" w:firstLineChars="0"/>
              <w:jc w:val="center"/>
              <w:rPr>
                <w:kern w:val="0"/>
                <w:sz w:val="21"/>
                <w:szCs w:val="21"/>
              </w:rPr>
            </w:pP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废水</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continue"/>
            <w:tcBorders>
              <w:right w:val="single" w:color="auto" w:sz="4" w:space="0"/>
            </w:tcBorders>
            <w:vAlign w:val="center"/>
          </w:tcPr>
          <w:p>
            <w:pPr>
              <w:spacing w:line="0" w:lineRule="atLeast"/>
              <w:ind w:firstLine="0" w:firstLineChars="0"/>
              <w:jc w:val="center"/>
              <w:rPr>
                <w:kern w:val="0"/>
                <w:sz w:val="21"/>
                <w:szCs w:val="21"/>
              </w:rPr>
            </w:pP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化学需氧量</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14.197t/a</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14.197t/a</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continue"/>
            <w:tcBorders>
              <w:right w:val="single" w:color="auto" w:sz="4" w:space="0"/>
            </w:tcBorders>
            <w:vAlign w:val="center"/>
          </w:tcPr>
          <w:p>
            <w:pPr>
              <w:spacing w:line="0" w:lineRule="atLeast"/>
              <w:ind w:firstLine="0" w:firstLineChars="0"/>
              <w:jc w:val="center"/>
              <w:rPr>
                <w:kern w:val="0"/>
                <w:sz w:val="21"/>
                <w:szCs w:val="21"/>
              </w:rPr>
            </w:pP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氨氮</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1.538t/a</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1.538t/a</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continue"/>
            <w:tcBorders>
              <w:right w:val="single" w:color="auto" w:sz="4" w:space="0"/>
            </w:tcBorders>
            <w:vAlign w:val="center"/>
          </w:tcPr>
          <w:p>
            <w:pPr>
              <w:spacing w:line="0" w:lineRule="atLeast"/>
              <w:ind w:firstLine="0" w:firstLineChars="0"/>
              <w:jc w:val="center"/>
              <w:rPr>
                <w:kern w:val="0"/>
                <w:sz w:val="21"/>
                <w:szCs w:val="21"/>
              </w:rPr>
            </w:pP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石油类</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continue"/>
            <w:tcBorders>
              <w:right w:val="single" w:color="auto" w:sz="4" w:space="0"/>
            </w:tcBorders>
            <w:vAlign w:val="center"/>
          </w:tcPr>
          <w:p>
            <w:pPr>
              <w:spacing w:line="0" w:lineRule="atLeast"/>
              <w:ind w:firstLine="0" w:firstLineChars="0"/>
              <w:jc w:val="center"/>
              <w:rPr>
                <w:kern w:val="0"/>
                <w:sz w:val="21"/>
                <w:szCs w:val="21"/>
              </w:rPr>
            </w:pP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废气</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continue"/>
            <w:tcBorders>
              <w:right w:val="single" w:color="auto" w:sz="4" w:space="0"/>
            </w:tcBorders>
            <w:vAlign w:val="center"/>
          </w:tcPr>
          <w:p>
            <w:pPr>
              <w:spacing w:line="0" w:lineRule="atLeast"/>
              <w:ind w:firstLine="0" w:firstLineChars="0"/>
              <w:jc w:val="center"/>
              <w:rPr>
                <w:kern w:val="0"/>
                <w:sz w:val="21"/>
                <w:szCs w:val="21"/>
              </w:rPr>
            </w:pP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二氧化硫</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continue"/>
            <w:tcBorders>
              <w:right w:val="single" w:color="auto" w:sz="4" w:space="0"/>
            </w:tcBorders>
            <w:vAlign w:val="center"/>
          </w:tcPr>
          <w:p>
            <w:pPr>
              <w:spacing w:line="0" w:lineRule="atLeast"/>
              <w:ind w:firstLine="0" w:firstLineChars="0"/>
              <w:jc w:val="center"/>
              <w:rPr>
                <w:kern w:val="0"/>
                <w:sz w:val="21"/>
                <w:szCs w:val="21"/>
              </w:rPr>
            </w:pP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烟尘</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continue"/>
            <w:tcBorders>
              <w:right w:val="single" w:color="auto" w:sz="4" w:space="0"/>
            </w:tcBorders>
            <w:vAlign w:val="center"/>
          </w:tcPr>
          <w:p>
            <w:pPr>
              <w:spacing w:line="0" w:lineRule="atLeast"/>
              <w:ind w:firstLine="0" w:firstLineChars="0"/>
              <w:jc w:val="center"/>
              <w:rPr>
                <w:kern w:val="0"/>
                <w:sz w:val="21"/>
                <w:szCs w:val="21"/>
              </w:rPr>
            </w:pP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工业粉尘</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0.0612t/a</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0.0612t/a</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continue"/>
            <w:tcBorders>
              <w:right w:val="single" w:color="auto" w:sz="4" w:space="0"/>
            </w:tcBorders>
            <w:vAlign w:val="center"/>
          </w:tcPr>
          <w:p>
            <w:pPr>
              <w:spacing w:line="0" w:lineRule="atLeast"/>
              <w:ind w:firstLine="0" w:firstLineChars="0"/>
              <w:jc w:val="center"/>
              <w:rPr>
                <w:kern w:val="0"/>
                <w:sz w:val="21"/>
                <w:szCs w:val="21"/>
              </w:rPr>
            </w:pP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氮氧化物</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softHyphen/>
            </w:r>
            <w:r>
              <w:rPr>
                <w:kern w:val="0"/>
                <w:sz w:val="21"/>
                <w:szCs w:val="21"/>
              </w:rPr>
              <w:softHyphen/>
            </w:r>
            <w:r>
              <w:rPr>
                <w:kern w:val="0"/>
                <w:sz w:val="21"/>
                <w:szCs w:val="21"/>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continue"/>
            <w:tcBorders>
              <w:right w:val="single" w:color="auto" w:sz="4" w:space="0"/>
            </w:tcBorders>
            <w:vAlign w:val="center"/>
          </w:tcPr>
          <w:p>
            <w:pPr>
              <w:spacing w:line="0" w:lineRule="atLeast"/>
              <w:ind w:firstLine="0" w:firstLineChars="0"/>
              <w:jc w:val="center"/>
              <w:rPr>
                <w:kern w:val="0"/>
                <w:sz w:val="21"/>
                <w:szCs w:val="21"/>
              </w:rPr>
            </w:pP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工业固废</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r>
      <w:tr>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454" w:hRule="atLeast"/>
          <w:jc w:val="center"/>
        </w:trPr>
        <w:tc>
          <w:tcPr>
            <w:tcW w:w="564" w:type="dxa"/>
            <w:vMerge w:val="continue"/>
            <w:tcBorders>
              <w:bottom w:val="single" w:color="auto" w:sz="6" w:space="0"/>
              <w:right w:val="single" w:color="auto" w:sz="4" w:space="0"/>
            </w:tcBorders>
            <w:vAlign w:val="center"/>
          </w:tcPr>
          <w:p>
            <w:pPr>
              <w:spacing w:line="0" w:lineRule="atLeast"/>
              <w:ind w:firstLine="0" w:firstLineChars="0"/>
              <w:jc w:val="center"/>
              <w:rPr>
                <w:kern w:val="0"/>
                <w:sz w:val="21"/>
                <w:szCs w:val="21"/>
              </w:rPr>
            </w:pPr>
          </w:p>
        </w:tc>
        <w:tc>
          <w:tcPr>
            <w:tcW w:w="1368" w:type="dxa"/>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与项目有关的其他特征污染物</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c>
          <w:tcPr>
            <w:tcW w:w="1020" w:type="dxa"/>
            <w:gridSpan w:val="3"/>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c>
          <w:tcPr>
            <w:tcW w:w="1006"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34"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0"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c>
          <w:tcPr>
            <w:tcW w:w="1020" w:type="dxa"/>
            <w:tcBorders>
              <w:top w:val="single" w:color="auto" w:sz="6" w:space="0"/>
              <w:bottom w:val="single" w:color="auto" w:sz="6" w:space="0"/>
            </w:tcBorders>
            <w:vAlign w:val="center"/>
          </w:tcPr>
          <w:p>
            <w:pPr>
              <w:spacing w:line="0" w:lineRule="atLeast"/>
              <w:ind w:firstLine="0" w:firstLineChars="0"/>
              <w:jc w:val="center"/>
              <w:rPr>
                <w:kern w:val="0"/>
                <w:sz w:val="21"/>
                <w:szCs w:val="21"/>
              </w:rPr>
            </w:pPr>
            <w:r>
              <w:rPr>
                <w:kern w:val="0"/>
                <w:sz w:val="21"/>
                <w:szCs w:val="21"/>
              </w:rPr>
              <w:t>-</w:t>
            </w:r>
          </w:p>
        </w:tc>
        <w:tc>
          <w:tcPr>
            <w:tcW w:w="1028" w:type="dxa"/>
            <w:gridSpan w:val="2"/>
            <w:tcBorders>
              <w:top w:val="single" w:color="auto" w:sz="6"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c>
          <w:tcPr>
            <w:tcW w:w="1012" w:type="dxa"/>
            <w:gridSpan w:val="2"/>
            <w:tcBorders>
              <w:top w:val="single" w:color="auto" w:sz="6" w:space="0"/>
              <w:bottom w:val="single" w:color="auto" w:sz="6" w:space="0"/>
              <w:right w:val="single" w:color="auto" w:sz="4" w:space="0"/>
            </w:tcBorders>
            <w:vAlign w:val="center"/>
          </w:tcPr>
          <w:p>
            <w:pPr>
              <w:spacing w:line="0" w:lineRule="atLeast"/>
              <w:ind w:firstLine="0" w:firstLineChars="0"/>
              <w:jc w:val="center"/>
              <w:rPr>
                <w:kern w:val="0"/>
                <w:sz w:val="21"/>
                <w:szCs w:val="21"/>
              </w:rPr>
            </w:pPr>
            <w:r>
              <w:rPr>
                <w:kern w:val="0"/>
                <w:sz w:val="21"/>
                <w:szCs w:val="21"/>
              </w:rPr>
              <w:t>-</w:t>
            </w:r>
          </w:p>
        </w:tc>
        <w:tc>
          <w:tcPr>
            <w:tcW w:w="1022" w:type="dxa"/>
            <w:gridSpan w:val="2"/>
            <w:tcBorders>
              <w:top w:val="single" w:color="auto" w:sz="6" w:space="0"/>
              <w:left w:val="single" w:color="auto" w:sz="4" w:space="0"/>
              <w:bottom w:val="single" w:color="auto" w:sz="6" w:space="0"/>
            </w:tcBorders>
            <w:vAlign w:val="center"/>
          </w:tcPr>
          <w:p>
            <w:pPr>
              <w:spacing w:line="0" w:lineRule="atLeast"/>
              <w:ind w:firstLine="0" w:firstLineChars="0"/>
              <w:jc w:val="center"/>
              <w:rPr>
                <w:kern w:val="0"/>
                <w:sz w:val="21"/>
                <w:szCs w:val="21"/>
                <w:vertAlign w:val="subscript"/>
              </w:rPr>
            </w:pPr>
            <w:r>
              <w:rPr>
                <w:kern w:val="0"/>
                <w:sz w:val="21"/>
                <w:szCs w:val="21"/>
              </w:rPr>
              <w:softHyphen/>
            </w:r>
            <w:r>
              <w:rPr>
                <w:kern w:val="0"/>
                <w:sz w:val="21"/>
                <w:szCs w:val="21"/>
              </w:rPr>
              <w:softHyphen/>
            </w:r>
            <w:r>
              <w:rPr>
                <w:kern w:val="0"/>
                <w:sz w:val="21"/>
                <w:szCs w:val="21"/>
              </w:rPr>
              <w:t>-</w:t>
            </w:r>
          </w:p>
        </w:tc>
      </w:tr>
    </w:tbl>
    <w:p>
      <w:pPr>
        <w:spacing w:before="72" w:after="72"/>
        <w:ind w:firstLine="420"/>
        <w:rPr>
          <w:sz w:val="21"/>
          <w:szCs w:val="22"/>
        </w:rPr>
      </w:pPr>
      <w:r>
        <w:rPr>
          <w:sz w:val="21"/>
          <w:szCs w:val="22"/>
        </w:rPr>
        <w:t>注：1、排放增减量：（+）表示增加，（-）表示减少。2、（12）=（6）-（8）-（11），（9）=（4）（5）-（8）-（11</w:t>
      </w:r>
      <w:r>
        <w:rPr>
          <w:rFonts w:hint="eastAsia"/>
          <w:sz w:val="21"/>
          <w:szCs w:val="22"/>
        </w:rPr>
        <w:t>）</w:t>
      </w:r>
      <w:r>
        <w:rPr>
          <w:sz w:val="21"/>
          <w:szCs w:val="22"/>
        </w:rPr>
        <w:t>+（1）。3、计量单位：废水、固废：万吨/年；废气量：×10</w:t>
      </w:r>
      <w:r>
        <w:rPr>
          <w:sz w:val="21"/>
          <w:szCs w:val="22"/>
          <w:vertAlign w:val="superscript"/>
        </w:rPr>
        <w:t>4</w:t>
      </w:r>
      <w:r>
        <w:rPr>
          <w:sz w:val="21"/>
          <w:szCs w:val="22"/>
        </w:rPr>
        <w:t>标米</w:t>
      </w:r>
      <w:r>
        <w:rPr>
          <w:sz w:val="21"/>
          <w:szCs w:val="22"/>
          <w:vertAlign w:val="superscript"/>
        </w:rPr>
        <w:t>3</w:t>
      </w:r>
      <w:r>
        <w:rPr>
          <w:sz w:val="21"/>
          <w:szCs w:val="22"/>
        </w:rPr>
        <w:t>/年；废水中污染物浓度：毫克/升</w:t>
      </w:r>
    </w:p>
    <w:p>
      <w:pPr>
        <w:ind w:firstLine="480"/>
        <w:sectPr>
          <w:headerReference r:id="rId18" w:type="default"/>
          <w:footerReference r:id="rId19" w:type="default"/>
          <w:pgSz w:w="16838" w:h="11906" w:orient="landscape"/>
          <w:pgMar w:top="1588" w:right="1247" w:bottom="1531" w:left="1247" w:header="851" w:footer="992" w:gutter="0"/>
          <w:cols w:space="425" w:num="1"/>
          <w:docGrid w:linePitch="326" w:charSpace="0"/>
        </w:sectPr>
      </w:pPr>
    </w:p>
    <w:p>
      <w:pPr>
        <w:pStyle w:val="7"/>
      </w:pPr>
    </w:p>
    <w:sectPr>
      <w:headerReference r:id="rId20" w:type="default"/>
      <w:pgSz w:w="11906" w:h="16838"/>
      <w:pgMar w:top="1247" w:right="1531" w:bottom="1247" w:left="1588" w:header="851" w:footer="992" w:gutter="0"/>
      <w:pgNumType w:fmt="numberInDash"/>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方正小标宋简体">
    <w:altName w:val="微软雅黑"/>
    <w:panose1 w:val="00000000000000000000"/>
    <w:charset w:val="86"/>
    <w:family w:val="roma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distribute"/>
      <w:rPr>
        <w:rFonts w:eastAsia="黑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adjustRightInd w:val="0"/>
      <w:snapToGrid w:val="0"/>
      <w:spacing w:before="600" w:line="180" w:lineRule="exact"/>
      <w:ind w:firstLine="0" w:firstLineChars="0"/>
      <w:jc w:val="distribute"/>
      <w:rPr>
        <w:rFonts w:eastAsia="黑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394970</wp:posOffset>
              </wp:positionV>
              <wp:extent cx="582930" cy="251460"/>
              <wp:effectExtent l="0" t="0" r="7620" b="15240"/>
              <wp:wrapNone/>
              <wp:docPr id="44" name="文本框 44"/>
              <wp:cNvGraphicFramePr/>
              <a:graphic xmlns:a="http://schemas.openxmlformats.org/drawingml/2006/main">
                <a:graphicData uri="http://schemas.microsoft.com/office/word/2010/wordprocessingShape">
                  <wps:wsp>
                    <wps:cNvSpPr txBox="1"/>
                    <wps:spPr>
                      <a:xfrm>
                        <a:off x="0" y="0"/>
                        <a:ext cx="582930" cy="251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31.1pt;height:19.8pt;width:45.9pt;mso-position-horizontal:center;mso-position-horizontal-relative:margin;z-index:251660288;mso-width-relative:page;mso-height-relative:page;" filled="f" stroked="f" coordsize="21600,21600" o:gfxdata="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rGcwM0wAAAAYBAAAPAAAAAAAAAAEAIAAAACIAAABkcnMvZG93bnJldi54bWxQSwEC&#10;FAAUAAAACACHTuJAVBy9RTICAABXBAAADgAAAAAAAAABACAAAAAiAQAAZHJzL2Uyb0RvYy54bWxQ&#10;SwUGAAAAAAYABgBZAQAAxgUAAAAA&#10;">
              <v:fill on="f" focussize="0,0"/>
              <v:stroke on="f" weight="0.5pt"/>
              <v:imagedata o:title=""/>
              <o:lock v:ext="edit" aspectratio="f"/>
              <v:textbox inset="0mm,0mm,0mm,0mm">
                <w:txbxContent>
                  <w:p>
                    <w:pPr>
                      <w:pStyle w:val="33"/>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v:textbox>
            </v:shape>
          </w:pict>
        </mc:Fallback>
      </mc:AlternateContent>
    </w:r>
    <w:r>
      <w:rPr>
        <w:rFonts w:eastAsia="黑体"/>
        <w:sz w:val="18"/>
        <w:szCs w:val="18"/>
      </w:rPr>
      <w:t>辽宁省环保集团辐洁生态环境有限公司                                       沈阳市皇姑区崇山东路34号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6731091"/>
    </w:sdtPr>
    <w:sdtContent>
      <w:p>
        <w:pPr>
          <w:pStyle w:val="33"/>
          <w:pBdr>
            <w:top w:val="single" w:color="auto" w:sz="4" w:space="1"/>
          </w:pBdr>
          <w:adjustRightInd w:val="0"/>
          <w:snapToGrid w:val="0"/>
          <w:spacing w:before="600" w:line="180" w:lineRule="exact"/>
          <w:ind w:firstLine="0" w:firstLineChars="0"/>
          <w:jc w:val="center"/>
        </w:pPr>
        <w:r>
          <w:rPr>
            <w:rFonts w:hint="eastAsia"/>
          </w:rPr>
          <w:t xml:space="preserve">辽宁省环保集团辐洁生态环境有限公司 </w:t>
        </w:r>
        <w:r>
          <w:t xml:space="preserve">          </w:t>
        </w:r>
        <w:r>
          <w:fldChar w:fldCharType="begin"/>
        </w:r>
        <w:r>
          <w:instrText xml:space="preserve">PAGE   \* MERGEFORMAT</w:instrText>
        </w:r>
        <w:r>
          <w:fldChar w:fldCharType="separate"/>
        </w:r>
        <w:r>
          <w:rPr>
            <w:lang w:val="zh-CN"/>
          </w:rPr>
          <w:t>2</w:t>
        </w:r>
        <w:r>
          <w:fldChar w:fldCharType="end"/>
        </w:r>
        <w:r>
          <w:t xml:space="preserve">                       </w:t>
        </w:r>
        <w:r>
          <w:rPr>
            <w:rFonts w:hint="eastAsia"/>
          </w:rPr>
          <w:t>沈阳市皇姑区崇山东路34号</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1010145"/>
    </w:sdtPr>
    <w:sdtContent>
      <w:p>
        <w:pPr>
          <w:pStyle w:val="33"/>
          <w:pBdr>
            <w:top w:val="single" w:color="auto" w:sz="4" w:space="1"/>
          </w:pBdr>
          <w:adjustRightInd w:val="0"/>
          <w:snapToGrid w:val="0"/>
          <w:spacing w:before="600" w:line="180" w:lineRule="exact"/>
          <w:ind w:firstLine="0" w:firstLineChars="0"/>
          <w:jc w:val="center"/>
        </w:pPr>
        <w:r>
          <w:rPr>
            <w:rFonts w:hint="eastAsia"/>
          </w:rPr>
          <w:t xml:space="preserve">辽宁省环保集团辐洁生态环境有限公司 </w:t>
        </w:r>
        <w:r>
          <w:t xml:space="preserve">                                       </w:t>
        </w:r>
        <w:r>
          <w:fldChar w:fldCharType="begin"/>
        </w:r>
        <w:r>
          <w:instrText xml:space="preserve">PAGE   \* MERGEFORMAT</w:instrText>
        </w:r>
        <w:r>
          <w:fldChar w:fldCharType="separate"/>
        </w:r>
        <w:r>
          <w:rPr>
            <w:lang w:val="zh-CN"/>
          </w:rPr>
          <w:t>2</w:t>
        </w:r>
        <w:r>
          <w:fldChar w:fldCharType="end"/>
        </w:r>
        <w:r>
          <w:t xml:space="preserve">                                               </w:t>
        </w:r>
        <w:r>
          <w:rPr>
            <w:rFonts w:hint="eastAsia"/>
          </w:rPr>
          <w:t>沈阳市皇姑区崇山东路34号</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6336864"/>
    </w:sdtPr>
    <w:sdtContent>
      <w:p>
        <w:pPr>
          <w:pStyle w:val="33"/>
          <w:pBdr>
            <w:top w:val="single" w:color="auto" w:sz="4" w:space="1"/>
          </w:pBdr>
          <w:adjustRightInd w:val="0"/>
          <w:snapToGrid w:val="0"/>
          <w:spacing w:before="600" w:line="180" w:lineRule="exact"/>
          <w:ind w:firstLine="0" w:firstLineChars="0"/>
          <w:jc w:val="center"/>
        </w:pPr>
        <w:r>
          <w:rPr>
            <w:rFonts w:hint="eastAsia"/>
          </w:rPr>
          <w:t xml:space="preserve">辽宁省环保集团辐洁生态环境有限公司 </w:t>
        </w:r>
        <w:r>
          <w:t xml:space="preserve">           </w:t>
        </w:r>
        <w:r>
          <w:fldChar w:fldCharType="begin"/>
        </w:r>
        <w:r>
          <w:instrText xml:space="preserve">PAGE   \* MERGEFORMAT</w:instrText>
        </w:r>
        <w:r>
          <w:fldChar w:fldCharType="separate"/>
        </w:r>
        <w:r>
          <w:rPr>
            <w:lang w:val="zh-CN"/>
          </w:rPr>
          <w:t>2</w:t>
        </w:r>
        <w:r>
          <w:fldChar w:fldCharType="end"/>
        </w:r>
        <w:r>
          <w:t xml:space="preserve">                    </w:t>
        </w:r>
        <w:r>
          <w:rPr>
            <w:rFonts w:hint="eastAsia"/>
          </w:rPr>
          <w:t>沈阳市皇姑区崇山东路34号</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adjustRightInd w:val="0"/>
      <w:ind w:firstLine="0" w:firstLineChars="0"/>
      <w:jc w:val="distribute"/>
      <w:rPr>
        <w:rFonts w:ascii="黑体" w:hAnsi="黑体" w:eastAsia="黑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adjustRightInd w:val="0"/>
      <w:snapToGrid w:val="0"/>
      <w:spacing w:after="600" w:line="180" w:lineRule="exact"/>
      <w:ind w:firstLine="0" w:firstLineChars="0"/>
    </w:pPr>
    <w:r>
      <w:rPr>
        <w:rFonts w:hint="eastAsia"/>
      </w:rPr>
      <w:t xml:space="preserve">沈阳造币有限公司彩喷机十台购置建设项目 </w:t>
    </w:r>
    <w:r>
      <w:t xml:space="preserve">                               </w:t>
    </w:r>
    <w:r>
      <w:rPr>
        <w:rFonts w:hint="eastAsia"/>
      </w:rPr>
      <w:t>竣工环境保护验收监测报告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adjustRightInd w:val="0"/>
      <w:snapToGrid w:val="0"/>
      <w:spacing w:after="600" w:line="180" w:lineRule="exact"/>
      <w:ind w:firstLine="0" w:firstLineChars="0"/>
    </w:pPr>
    <w:r>
      <w:rPr>
        <w:rFonts w:hint="eastAsia"/>
      </w:rPr>
      <w:t xml:space="preserve">沈阳造币有限公司彩喷机十台购置建设项目 </w:t>
    </w:r>
    <w:r>
      <w:t xml:space="preserve">                                                                                        </w:t>
    </w:r>
    <w:r>
      <w:rPr>
        <w:rFonts w:hint="eastAsia"/>
      </w:rPr>
      <w:t>竣工环境保护验收监测报告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adjustRightInd w:val="0"/>
      <w:snapToGrid w:val="0"/>
      <w:spacing w:after="600" w:line="180" w:lineRule="exact"/>
      <w:ind w:firstLine="0" w:firstLineChars="0"/>
    </w:pPr>
    <w:r>
      <w:rPr>
        <w:rFonts w:hint="eastAsia"/>
      </w:rPr>
      <w:t xml:space="preserve">沈阳造币有限公司彩喷机十台购置建设项目 </w:t>
    </w:r>
    <w:r>
      <w:t xml:space="preserve">                              </w:t>
    </w:r>
    <w:r>
      <w:rPr>
        <w:rFonts w:hint="eastAsia"/>
      </w:rPr>
      <w:t>竣工环境保护验收监测报告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adjustRightInd w:val="0"/>
      <w:snapToGrid w:val="0"/>
      <w:spacing w:after="600" w:line="180" w:lineRule="exact"/>
      <w:ind w:firstLine="0" w:firstLineChars="0"/>
    </w:pPr>
    <w:r>
      <w:rPr>
        <w:rFonts w:hint="eastAsia"/>
      </w:rPr>
      <w:t xml:space="preserve">沈阳造币有限公司彩喷机十台购置建设项目 </w:t>
    </w:r>
    <w:r>
      <w:t xml:space="preserve">                                                                                           </w:t>
    </w:r>
    <w:r>
      <w:rPr>
        <w:rFonts w:hint="eastAsia"/>
      </w:rPr>
      <w:t>竣工环境保护验收监测报告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adjustRightInd w:val="0"/>
      <w:ind w:firstLine="0" w:firstLineChars="0"/>
      <w:jc w:val="distribute"/>
      <w:rPr>
        <w:rFonts w:ascii="黑体" w:hAnsi="黑体" w:eastAsia="黑体"/>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C0"/>
    <w:rsid w:val="0000013E"/>
    <w:rsid w:val="0000023E"/>
    <w:rsid w:val="000002F9"/>
    <w:rsid w:val="000005F4"/>
    <w:rsid w:val="00000C9B"/>
    <w:rsid w:val="00000E3D"/>
    <w:rsid w:val="00000F51"/>
    <w:rsid w:val="00001127"/>
    <w:rsid w:val="000012CA"/>
    <w:rsid w:val="0000147E"/>
    <w:rsid w:val="00001690"/>
    <w:rsid w:val="0000185A"/>
    <w:rsid w:val="0000191E"/>
    <w:rsid w:val="0000198F"/>
    <w:rsid w:val="00001A2D"/>
    <w:rsid w:val="00001D53"/>
    <w:rsid w:val="00001D85"/>
    <w:rsid w:val="00001F4E"/>
    <w:rsid w:val="000020C4"/>
    <w:rsid w:val="00002261"/>
    <w:rsid w:val="000022A2"/>
    <w:rsid w:val="000022E8"/>
    <w:rsid w:val="0000236E"/>
    <w:rsid w:val="00002455"/>
    <w:rsid w:val="00002524"/>
    <w:rsid w:val="00002739"/>
    <w:rsid w:val="000027EA"/>
    <w:rsid w:val="00002BEF"/>
    <w:rsid w:val="00002C0A"/>
    <w:rsid w:val="00002C62"/>
    <w:rsid w:val="00002E44"/>
    <w:rsid w:val="00002E8F"/>
    <w:rsid w:val="00002EE4"/>
    <w:rsid w:val="00002FA6"/>
    <w:rsid w:val="00003023"/>
    <w:rsid w:val="00003149"/>
    <w:rsid w:val="000034BE"/>
    <w:rsid w:val="000039C1"/>
    <w:rsid w:val="00003AC7"/>
    <w:rsid w:val="00003D95"/>
    <w:rsid w:val="00003F19"/>
    <w:rsid w:val="00003F8D"/>
    <w:rsid w:val="0000444C"/>
    <w:rsid w:val="00004505"/>
    <w:rsid w:val="0000484D"/>
    <w:rsid w:val="0000492F"/>
    <w:rsid w:val="00004986"/>
    <w:rsid w:val="000049D9"/>
    <w:rsid w:val="00004DBD"/>
    <w:rsid w:val="0000514C"/>
    <w:rsid w:val="00005863"/>
    <w:rsid w:val="000059B0"/>
    <w:rsid w:val="000059D9"/>
    <w:rsid w:val="00005A51"/>
    <w:rsid w:val="00005C74"/>
    <w:rsid w:val="00005E89"/>
    <w:rsid w:val="0000605B"/>
    <w:rsid w:val="000061AE"/>
    <w:rsid w:val="0000645B"/>
    <w:rsid w:val="00006963"/>
    <w:rsid w:val="00006ECA"/>
    <w:rsid w:val="000071EC"/>
    <w:rsid w:val="00007274"/>
    <w:rsid w:val="00007698"/>
    <w:rsid w:val="00007737"/>
    <w:rsid w:val="000078BC"/>
    <w:rsid w:val="00007925"/>
    <w:rsid w:val="00007AC2"/>
    <w:rsid w:val="00007CB1"/>
    <w:rsid w:val="000101A6"/>
    <w:rsid w:val="000102F9"/>
    <w:rsid w:val="00010391"/>
    <w:rsid w:val="00010503"/>
    <w:rsid w:val="00010600"/>
    <w:rsid w:val="000109FC"/>
    <w:rsid w:val="00010B0D"/>
    <w:rsid w:val="00010B5F"/>
    <w:rsid w:val="00010CD9"/>
    <w:rsid w:val="00010EA3"/>
    <w:rsid w:val="0001106D"/>
    <w:rsid w:val="0001125A"/>
    <w:rsid w:val="00011332"/>
    <w:rsid w:val="00011649"/>
    <w:rsid w:val="0001165F"/>
    <w:rsid w:val="00011AC3"/>
    <w:rsid w:val="00011C9B"/>
    <w:rsid w:val="00011CDD"/>
    <w:rsid w:val="00012007"/>
    <w:rsid w:val="00012023"/>
    <w:rsid w:val="0001204F"/>
    <w:rsid w:val="000121D4"/>
    <w:rsid w:val="0001248B"/>
    <w:rsid w:val="0001266A"/>
    <w:rsid w:val="0001289D"/>
    <w:rsid w:val="00012F63"/>
    <w:rsid w:val="000130F2"/>
    <w:rsid w:val="00013118"/>
    <w:rsid w:val="00013142"/>
    <w:rsid w:val="000131AE"/>
    <w:rsid w:val="000131FF"/>
    <w:rsid w:val="0001399A"/>
    <w:rsid w:val="00013AA5"/>
    <w:rsid w:val="00013C88"/>
    <w:rsid w:val="00013F6A"/>
    <w:rsid w:val="00014226"/>
    <w:rsid w:val="000142B9"/>
    <w:rsid w:val="000143DF"/>
    <w:rsid w:val="00014BCB"/>
    <w:rsid w:val="00014C28"/>
    <w:rsid w:val="00014FA4"/>
    <w:rsid w:val="000152B0"/>
    <w:rsid w:val="000153AE"/>
    <w:rsid w:val="00015543"/>
    <w:rsid w:val="00015569"/>
    <w:rsid w:val="000155F2"/>
    <w:rsid w:val="00015875"/>
    <w:rsid w:val="00015D00"/>
    <w:rsid w:val="00015DEB"/>
    <w:rsid w:val="000160CB"/>
    <w:rsid w:val="000162B8"/>
    <w:rsid w:val="00016425"/>
    <w:rsid w:val="0001676D"/>
    <w:rsid w:val="00016C0A"/>
    <w:rsid w:val="000171EE"/>
    <w:rsid w:val="00017212"/>
    <w:rsid w:val="00017B19"/>
    <w:rsid w:val="00017C42"/>
    <w:rsid w:val="00017E7C"/>
    <w:rsid w:val="00017F4A"/>
    <w:rsid w:val="00020001"/>
    <w:rsid w:val="00020002"/>
    <w:rsid w:val="00020020"/>
    <w:rsid w:val="0002009B"/>
    <w:rsid w:val="00020569"/>
    <w:rsid w:val="00020702"/>
    <w:rsid w:val="0002074E"/>
    <w:rsid w:val="0002092B"/>
    <w:rsid w:val="00020D76"/>
    <w:rsid w:val="00020F26"/>
    <w:rsid w:val="00020F67"/>
    <w:rsid w:val="00021019"/>
    <w:rsid w:val="00021041"/>
    <w:rsid w:val="0002111C"/>
    <w:rsid w:val="00021124"/>
    <w:rsid w:val="000211CD"/>
    <w:rsid w:val="00021369"/>
    <w:rsid w:val="00021A66"/>
    <w:rsid w:val="00021BD2"/>
    <w:rsid w:val="00021EBF"/>
    <w:rsid w:val="0002200E"/>
    <w:rsid w:val="000228FC"/>
    <w:rsid w:val="0002295E"/>
    <w:rsid w:val="00022D08"/>
    <w:rsid w:val="00023135"/>
    <w:rsid w:val="000232F9"/>
    <w:rsid w:val="00023637"/>
    <w:rsid w:val="00023727"/>
    <w:rsid w:val="00023735"/>
    <w:rsid w:val="00023958"/>
    <w:rsid w:val="00023D6F"/>
    <w:rsid w:val="000243A8"/>
    <w:rsid w:val="00024531"/>
    <w:rsid w:val="000245B9"/>
    <w:rsid w:val="000245CF"/>
    <w:rsid w:val="00024780"/>
    <w:rsid w:val="000249CD"/>
    <w:rsid w:val="00024C1B"/>
    <w:rsid w:val="00024CDD"/>
    <w:rsid w:val="00024D81"/>
    <w:rsid w:val="00024E32"/>
    <w:rsid w:val="00025068"/>
    <w:rsid w:val="000251FD"/>
    <w:rsid w:val="00025286"/>
    <w:rsid w:val="00025533"/>
    <w:rsid w:val="0002569D"/>
    <w:rsid w:val="00025C99"/>
    <w:rsid w:val="00025CC2"/>
    <w:rsid w:val="00025F5E"/>
    <w:rsid w:val="000263A5"/>
    <w:rsid w:val="0002644F"/>
    <w:rsid w:val="000264AC"/>
    <w:rsid w:val="00026667"/>
    <w:rsid w:val="00026AA2"/>
    <w:rsid w:val="00026F54"/>
    <w:rsid w:val="00027078"/>
    <w:rsid w:val="00027237"/>
    <w:rsid w:val="00027430"/>
    <w:rsid w:val="00027436"/>
    <w:rsid w:val="000274AC"/>
    <w:rsid w:val="000274CF"/>
    <w:rsid w:val="000275E2"/>
    <w:rsid w:val="000277C2"/>
    <w:rsid w:val="000278E8"/>
    <w:rsid w:val="00027939"/>
    <w:rsid w:val="000300F6"/>
    <w:rsid w:val="000302D8"/>
    <w:rsid w:val="00030389"/>
    <w:rsid w:val="000304F3"/>
    <w:rsid w:val="0003051C"/>
    <w:rsid w:val="000306CB"/>
    <w:rsid w:val="00030D4F"/>
    <w:rsid w:val="00031075"/>
    <w:rsid w:val="000318FB"/>
    <w:rsid w:val="00031951"/>
    <w:rsid w:val="00031AB2"/>
    <w:rsid w:val="000321C6"/>
    <w:rsid w:val="00032306"/>
    <w:rsid w:val="000327C3"/>
    <w:rsid w:val="0003284B"/>
    <w:rsid w:val="000329BC"/>
    <w:rsid w:val="00032D07"/>
    <w:rsid w:val="00032DA7"/>
    <w:rsid w:val="00032F6D"/>
    <w:rsid w:val="00032FC7"/>
    <w:rsid w:val="00033014"/>
    <w:rsid w:val="00033201"/>
    <w:rsid w:val="000333B1"/>
    <w:rsid w:val="0003342A"/>
    <w:rsid w:val="00033B18"/>
    <w:rsid w:val="00033EE4"/>
    <w:rsid w:val="00034135"/>
    <w:rsid w:val="0003417B"/>
    <w:rsid w:val="000343BF"/>
    <w:rsid w:val="0003451F"/>
    <w:rsid w:val="000348DA"/>
    <w:rsid w:val="00034F02"/>
    <w:rsid w:val="000350D7"/>
    <w:rsid w:val="000350EE"/>
    <w:rsid w:val="000350F1"/>
    <w:rsid w:val="000351CD"/>
    <w:rsid w:val="00035375"/>
    <w:rsid w:val="00035693"/>
    <w:rsid w:val="000356B9"/>
    <w:rsid w:val="0003574B"/>
    <w:rsid w:val="000357BC"/>
    <w:rsid w:val="0003583A"/>
    <w:rsid w:val="00035ABE"/>
    <w:rsid w:val="00035B59"/>
    <w:rsid w:val="00035BFD"/>
    <w:rsid w:val="00035C50"/>
    <w:rsid w:val="00035C93"/>
    <w:rsid w:val="00035D15"/>
    <w:rsid w:val="0003608D"/>
    <w:rsid w:val="000362AA"/>
    <w:rsid w:val="000368A2"/>
    <w:rsid w:val="000369B8"/>
    <w:rsid w:val="000369BD"/>
    <w:rsid w:val="00036AC4"/>
    <w:rsid w:val="00036B30"/>
    <w:rsid w:val="00036C76"/>
    <w:rsid w:val="00036CA3"/>
    <w:rsid w:val="00036DC2"/>
    <w:rsid w:val="00036E27"/>
    <w:rsid w:val="00036F39"/>
    <w:rsid w:val="00037040"/>
    <w:rsid w:val="000377B7"/>
    <w:rsid w:val="000377CB"/>
    <w:rsid w:val="000377D2"/>
    <w:rsid w:val="00037952"/>
    <w:rsid w:val="0003797F"/>
    <w:rsid w:val="0003799D"/>
    <w:rsid w:val="000379D2"/>
    <w:rsid w:val="00037B26"/>
    <w:rsid w:val="00037E0B"/>
    <w:rsid w:val="00037EA3"/>
    <w:rsid w:val="00037F45"/>
    <w:rsid w:val="00040204"/>
    <w:rsid w:val="00040267"/>
    <w:rsid w:val="0004041C"/>
    <w:rsid w:val="00040837"/>
    <w:rsid w:val="0004092D"/>
    <w:rsid w:val="00040967"/>
    <w:rsid w:val="00040B09"/>
    <w:rsid w:val="00040CC5"/>
    <w:rsid w:val="00040EE8"/>
    <w:rsid w:val="0004106B"/>
    <w:rsid w:val="00041111"/>
    <w:rsid w:val="00041233"/>
    <w:rsid w:val="0004128D"/>
    <w:rsid w:val="00041446"/>
    <w:rsid w:val="00041697"/>
    <w:rsid w:val="0004189C"/>
    <w:rsid w:val="00041AC0"/>
    <w:rsid w:val="00041C51"/>
    <w:rsid w:val="00041E23"/>
    <w:rsid w:val="00041E55"/>
    <w:rsid w:val="000420F8"/>
    <w:rsid w:val="000422FD"/>
    <w:rsid w:val="0004235C"/>
    <w:rsid w:val="00042454"/>
    <w:rsid w:val="000424C8"/>
    <w:rsid w:val="00042531"/>
    <w:rsid w:val="000427BD"/>
    <w:rsid w:val="00042B7E"/>
    <w:rsid w:val="0004317F"/>
    <w:rsid w:val="000431DF"/>
    <w:rsid w:val="00043238"/>
    <w:rsid w:val="00043260"/>
    <w:rsid w:val="00043576"/>
    <w:rsid w:val="000436AA"/>
    <w:rsid w:val="00043880"/>
    <w:rsid w:val="000438EE"/>
    <w:rsid w:val="000439EF"/>
    <w:rsid w:val="00043DD2"/>
    <w:rsid w:val="00043EE9"/>
    <w:rsid w:val="00044046"/>
    <w:rsid w:val="000441EA"/>
    <w:rsid w:val="0004438D"/>
    <w:rsid w:val="000444BD"/>
    <w:rsid w:val="00044589"/>
    <w:rsid w:val="000445AC"/>
    <w:rsid w:val="000445FF"/>
    <w:rsid w:val="00044621"/>
    <w:rsid w:val="0004471F"/>
    <w:rsid w:val="00044C36"/>
    <w:rsid w:val="00044C9A"/>
    <w:rsid w:val="00044D1E"/>
    <w:rsid w:val="00044D4B"/>
    <w:rsid w:val="00044F84"/>
    <w:rsid w:val="00044FCC"/>
    <w:rsid w:val="000450A4"/>
    <w:rsid w:val="0004512E"/>
    <w:rsid w:val="000451BB"/>
    <w:rsid w:val="000452AD"/>
    <w:rsid w:val="000453B7"/>
    <w:rsid w:val="00045754"/>
    <w:rsid w:val="000458F4"/>
    <w:rsid w:val="0004595D"/>
    <w:rsid w:val="00045FB5"/>
    <w:rsid w:val="00046007"/>
    <w:rsid w:val="00046064"/>
    <w:rsid w:val="000460DB"/>
    <w:rsid w:val="00046157"/>
    <w:rsid w:val="000462BB"/>
    <w:rsid w:val="00046461"/>
    <w:rsid w:val="000464F4"/>
    <w:rsid w:val="00046B0C"/>
    <w:rsid w:val="00046B81"/>
    <w:rsid w:val="00046DBD"/>
    <w:rsid w:val="00046F98"/>
    <w:rsid w:val="00047067"/>
    <w:rsid w:val="000470FE"/>
    <w:rsid w:val="00047139"/>
    <w:rsid w:val="0004768D"/>
    <w:rsid w:val="00047732"/>
    <w:rsid w:val="00047AD5"/>
    <w:rsid w:val="00047B9B"/>
    <w:rsid w:val="00047C8C"/>
    <w:rsid w:val="00047D43"/>
    <w:rsid w:val="00047D8C"/>
    <w:rsid w:val="00047FA4"/>
    <w:rsid w:val="0005086B"/>
    <w:rsid w:val="00050A36"/>
    <w:rsid w:val="00050BD7"/>
    <w:rsid w:val="00050E39"/>
    <w:rsid w:val="000512EA"/>
    <w:rsid w:val="00051302"/>
    <w:rsid w:val="0005197B"/>
    <w:rsid w:val="00051B21"/>
    <w:rsid w:val="0005201E"/>
    <w:rsid w:val="000521F9"/>
    <w:rsid w:val="000522D3"/>
    <w:rsid w:val="00052491"/>
    <w:rsid w:val="00052597"/>
    <w:rsid w:val="00052620"/>
    <w:rsid w:val="00052803"/>
    <w:rsid w:val="00052B2A"/>
    <w:rsid w:val="00053089"/>
    <w:rsid w:val="000531F9"/>
    <w:rsid w:val="000532BA"/>
    <w:rsid w:val="00053325"/>
    <w:rsid w:val="00053441"/>
    <w:rsid w:val="00053751"/>
    <w:rsid w:val="00053759"/>
    <w:rsid w:val="000537DA"/>
    <w:rsid w:val="00053A40"/>
    <w:rsid w:val="00053B2F"/>
    <w:rsid w:val="00053F29"/>
    <w:rsid w:val="00054025"/>
    <w:rsid w:val="00054026"/>
    <w:rsid w:val="00054027"/>
    <w:rsid w:val="0005407A"/>
    <w:rsid w:val="0005481E"/>
    <w:rsid w:val="000548AD"/>
    <w:rsid w:val="000548FF"/>
    <w:rsid w:val="0005492F"/>
    <w:rsid w:val="00054B5F"/>
    <w:rsid w:val="00054E39"/>
    <w:rsid w:val="00054F4B"/>
    <w:rsid w:val="0005530D"/>
    <w:rsid w:val="00055310"/>
    <w:rsid w:val="0005542E"/>
    <w:rsid w:val="0005558D"/>
    <w:rsid w:val="000559ED"/>
    <w:rsid w:val="00055B06"/>
    <w:rsid w:val="00055B37"/>
    <w:rsid w:val="00055C1D"/>
    <w:rsid w:val="00055C3B"/>
    <w:rsid w:val="000560DC"/>
    <w:rsid w:val="0005617D"/>
    <w:rsid w:val="000562F2"/>
    <w:rsid w:val="00056943"/>
    <w:rsid w:val="00056ACD"/>
    <w:rsid w:val="00056B73"/>
    <w:rsid w:val="00056BD7"/>
    <w:rsid w:val="00056DF7"/>
    <w:rsid w:val="00056FB5"/>
    <w:rsid w:val="00056FC1"/>
    <w:rsid w:val="00057225"/>
    <w:rsid w:val="000574AE"/>
    <w:rsid w:val="00057662"/>
    <w:rsid w:val="000576D6"/>
    <w:rsid w:val="0005780B"/>
    <w:rsid w:val="00057A15"/>
    <w:rsid w:val="00057AD9"/>
    <w:rsid w:val="00057C36"/>
    <w:rsid w:val="00057CC5"/>
    <w:rsid w:val="00057CCC"/>
    <w:rsid w:val="00057D6B"/>
    <w:rsid w:val="00057E2D"/>
    <w:rsid w:val="00057EE3"/>
    <w:rsid w:val="00057F99"/>
    <w:rsid w:val="00060178"/>
    <w:rsid w:val="0006018B"/>
    <w:rsid w:val="000602DA"/>
    <w:rsid w:val="000604CA"/>
    <w:rsid w:val="0006062B"/>
    <w:rsid w:val="0006067B"/>
    <w:rsid w:val="000606C4"/>
    <w:rsid w:val="00060AB0"/>
    <w:rsid w:val="00060FC7"/>
    <w:rsid w:val="00061309"/>
    <w:rsid w:val="000614EE"/>
    <w:rsid w:val="00061708"/>
    <w:rsid w:val="0006188E"/>
    <w:rsid w:val="000619CE"/>
    <w:rsid w:val="000619FC"/>
    <w:rsid w:val="00061D01"/>
    <w:rsid w:val="0006229B"/>
    <w:rsid w:val="000622A1"/>
    <w:rsid w:val="000624FE"/>
    <w:rsid w:val="0006251C"/>
    <w:rsid w:val="000628E2"/>
    <w:rsid w:val="00062F0A"/>
    <w:rsid w:val="000630EE"/>
    <w:rsid w:val="0006328A"/>
    <w:rsid w:val="000632F9"/>
    <w:rsid w:val="00063412"/>
    <w:rsid w:val="000634BB"/>
    <w:rsid w:val="00063871"/>
    <w:rsid w:val="00063933"/>
    <w:rsid w:val="00063C5C"/>
    <w:rsid w:val="00063EA7"/>
    <w:rsid w:val="00064093"/>
    <w:rsid w:val="000642A8"/>
    <w:rsid w:val="000643BA"/>
    <w:rsid w:val="00064531"/>
    <w:rsid w:val="00064A8A"/>
    <w:rsid w:val="00064B97"/>
    <w:rsid w:val="00065016"/>
    <w:rsid w:val="00065707"/>
    <w:rsid w:val="00065893"/>
    <w:rsid w:val="000658CA"/>
    <w:rsid w:val="000658DD"/>
    <w:rsid w:val="00065989"/>
    <w:rsid w:val="00065C82"/>
    <w:rsid w:val="00065D76"/>
    <w:rsid w:val="00065DDC"/>
    <w:rsid w:val="0006607E"/>
    <w:rsid w:val="000668C9"/>
    <w:rsid w:val="0006694C"/>
    <w:rsid w:val="00066976"/>
    <w:rsid w:val="00066986"/>
    <w:rsid w:val="0006698C"/>
    <w:rsid w:val="00066B13"/>
    <w:rsid w:val="00066F81"/>
    <w:rsid w:val="0006713D"/>
    <w:rsid w:val="000671E8"/>
    <w:rsid w:val="000673A6"/>
    <w:rsid w:val="000677C5"/>
    <w:rsid w:val="00067B25"/>
    <w:rsid w:val="00067C27"/>
    <w:rsid w:val="00067C82"/>
    <w:rsid w:val="00067D1A"/>
    <w:rsid w:val="00067F5B"/>
    <w:rsid w:val="00067FDD"/>
    <w:rsid w:val="0007004E"/>
    <w:rsid w:val="00070058"/>
    <w:rsid w:val="0007013C"/>
    <w:rsid w:val="0007086D"/>
    <w:rsid w:val="00070A5D"/>
    <w:rsid w:val="00070BCA"/>
    <w:rsid w:val="00070D43"/>
    <w:rsid w:val="00070EA9"/>
    <w:rsid w:val="00071067"/>
    <w:rsid w:val="00071109"/>
    <w:rsid w:val="0007137E"/>
    <w:rsid w:val="000713F9"/>
    <w:rsid w:val="000713FE"/>
    <w:rsid w:val="00071661"/>
    <w:rsid w:val="000717BC"/>
    <w:rsid w:val="00071D99"/>
    <w:rsid w:val="0007202E"/>
    <w:rsid w:val="00072091"/>
    <w:rsid w:val="000726C0"/>
    <w:rsid w:val="0007284F"/>
    <w:rsid w:val="00072B68"/>
    <w:rsid w:val="000732A7"/>
    <w:rsid w:val="00073B14"/>
    <w:rsid w:val="00073B23"/>
    <w:rsid w:val="00073E2D"/>
    <w:rsid w:val="00073FF0"/>
    <w:rsid w:val="000741EE"/>
    <w:rsid w:val="0007420C"/>
    <w:rsid w:val="000743E1"/>
    <w:rsid w:val="000743F5"/>
    <w:rsid w:val="00074CB2"/>
    <w:rsid w:val="00074D16"/>
    <w:rsid w:val="00074F76"/>
    <w:rsid w:val="0007532D"/>
    <w:rsid w:val="00075421"/>
    <w:rsid w:val="00075516"/>
    <w:rsid w:val="000758EB"/>
    <w:rsid w:val="00075A66"/>
    <w:rsid w:val="00075A8B"/>
    <w:rsid w:val="00075B12"/>
    <w:rsid w:val="00075F28"/>
    <w:rsid w:val="00075FE7"/>
    <w:rsid w:val="00076414"/>
    <w:rsid w:val="000764D0"/>
    <w:rsid w:val="0007692E"/>
    <w:rsid w:val="00076C50"/>
    <w:rsid w:val="00076C81"/>
    <w:rsid w:val="0007728D"/>
    <w:rsid w:val="00077439"/>
    <w:rsid w:val="0007743C"/>
    <w:rsid w:val="0007744E"/>
    <w:rsid w:val="000777A7"/>
    <w:rsid w:val="00077D58"/>
    <w:rsid w:val="00077D75"/>
    <w:rsid w:val="00077E86"/>
    <w:rsid w:val="00080011"/>
    <w:rsid w:val="00080116"/>
    <w:rsid w:val="00080364"/>
    <w:rsid w:val="00080407"/>
    <w:rsid w:val="00080604"/>
    <w:rsid w:val="00080766"/>
    <w:rsid w:val="000807A5"/>
    <w:rsid w:val="000807CF"/>
    <w:rsid w:val="000807E4"/>
    <w:rsid w:val="0008083B"/>
    <w:rsid w:val="000808BB"/>
    <w:rsid w:val="000809E5"/>
    <w:rsid w:val="00081156"/>
    <w:rsid w:val="000811D3"/>
    <w:rsid w:val="0008131C"/>
    <w:rsid w:val="00081361"/>
    <w:rsid w:val="000814EA"/>
    <w:rsid w:val="000814FE"/>
    <w:rsid w:val="000817CA"/>
    <w:rsid w:val="00081A87"/>
    <w:rsid w:val="00081D04"/>
    <w:rsid w:val="00081EF4"/>
    <w:rsid w:val="00081F05"/>
    <w:rsid w:val="00081F60"/>
    <w:rsid w:val="00082064"/>
    <w:rsid w:val="00082346"/>
    <w:rsid w:val="00082470"/>
    <w:rsid w:val="000825A9"/>
    <w:rsid w:val="000825DD"/>
    <w:rsid w:val="0008264B"/>
    <w:rsid w:val="0008289B"/>
    <w:rsid w:val="00082953"/>
    <w:rsid w:val="00082A6A"/>
    <w:rsid w:val="00082A71"/>
    <w:rsid w:val="00082C2C"/>
    <w:rsid w:val="00083321"/>
    <w:rsid w:val="00083513"/>
    <w:rsid w:val="00083D06"/>
    <w:rsid w:val="00083D2E"/>
    <w:rsid w:val="00083DB4"/>
    <w:rsid w:val="00083ED7"/>
    <w:rsid w:val="000841E4"/>
    <w:rsid w:val="000842A6"/>
    <w:rsid w:val="00084573"/>
    <w:rsid w:val="00084660"/>
    <w:rsid w:val="0008483B"/>
    <w:rsid w:val="00084B42"/>
    <w:rsid w:val="00084C9C"/>
    <w:rsid w:val="00084FDA"/>
    <w:rsid w:val="00085055"/>
    <w:rsid w:val="000850A6"/>
    <w:rsid w:val="00085270"/>
    <w:rsid w:val="000852DC"/>
    <w:rsid w:val="000855DF"/>
    <w:rsid w:val="00085616"/>
    <w:rsid w:val="0008564E"/>
    <w:rsid w:val="00085A5E"/>
    <w:rsid w:val="00085C2A"/>
    <w:rsid w:val="000861AA"/>
    <w:rsid w:val="00086202"/>
    <w:rsid w:val="0008625B"/>
    <w:rsid w:val="00086307"/>
    <w:rsid w:val="000865E9"/>
    <w:rsid w:val="00086899"/>
    <w:rsid w:val="00086973"/>
    <w:rsid w:val="00086CFD"/>
    <w:rsid w:val="00086D3D"/>
    <w:rsid w:val="00087139"/>
    <w:rsid w:val="0008737A"/>
    <w:rsid w:val="000873EF"/>
    <w:rsid w:val="0008746A"/>
    <w:rsid w:val="000874DC"/>
    <w:rsid w:val="000875C0"/>
    <w:rsid w:val="00087822"/>
    <w:rsid w:val="0008788B"/>
    <w:rsid w:val="00087B9C"/>
    <w:rsid w:val="00087C49"/>
    <w:rsid w:val="00087D45"/>
    <w:rsid w:val="000902C0"/>
    <w:rsid w:val="000905DD"/>
    <w:rsid w:val="00090805"/>
    <w:rsid w:val="00090880"/>
    <w:rsid w:val="000908F4"/>
    <w:rsid w:val="00090B7D"/>
    <w:rsid w:val="00091022"/>
    <w:rsid w:val="00091325"/>
    <w:rsid w:val="0009183D"/>
    <w:rsid w:val="0009190A"/>
    <w:rsid w:val="0009197A"/>
    <w:rsid w:val="00091A16"/>
    <w:rsid w:val="00091A47"/>
    <w:rsid w:val="00091BD8"/>
    <w:rsid w:val="00091C8D"/>
    <w:rsid w:val="0009209E"/>
    <w:rsid w:val="000920C4"/>
    <w:rsid w:val="000922AA"/>
    <w:rsid w:val="000924A0"/>
    <w:rsid w:val="000924F3"/>
    <w:rsid w:val="00092633"/>
    <w:rsid w:val="000926CA"/>
    <w:rsid w:val="000929CC"/>
    <w:rsid w:val="000929E2"/>
    <w:rsid w:val="00092F7A"/>
    <w:rsid w:val="00093213"/>
    <w:rsid w:val="00093580"/>
    <w:rsid w:val="000935B5"/>
    <w:rsid w:val="0009376A"/>
    <w:rsid w:val="00093788"/>
    <w:rsid w:val="00093831"/>
    <w:rsid w:val="00093927"/>
    <w:rsid w:val="00093D39"/>
    <w:rsid w:val="00093DB2"/>
    <w:rsid w:val="00094140"/>
    <w:rsid w:val="00094208"/>
    <w:rsid w:val="00094364"/>
    <w:rsid w:val="000946AB"/>
    <w:rsid w:val="00094899"/>
    <w:rsid w:val="000948CF"/>
    <w:rsid w:val="00094A99"/>
    <w:rsid w:val="00094B39"/>
    <w:rsid w:val="0009506E"/>
    <w:rsid w:val="000950D8"/>
    <w:rsid w:val="00095157"/>
    <w:rsid w:val="000952A3"/>
    <w:rsid w:val="000952C2"/>
    <w:rsid w:val="00095559"/>
    <w:rsid w:val="000955EE"/>
    <w:rsid w:val="00095666"/>
    <w:rsid w:val="000956A3"/>
    <w:rsid w:val="000957E0"/>
    <w:rsid w:val="00095B78"/>
    <w:rsid w:val="000960D0"/>
    <w:rsid w:val="000961EF"/>
    <w:rsid w:val="000964DB"/>
    <w:rsid w:val="0009654A"/>
    <w:rsid w:val="000965F8"/>
    <w:rsid w:val="000966B8"/>
    <w:rsid w:val="000966F3"/>
    <w:rsid w:val="00096BD5"/>
    <w:rsid w:val="00096EC8"/>
    <w:rsid w:val="0009703D"/>
    <w:rsid w:val="000970FA"/>
    <w:rsid w:val="000971C9"/>
    <w:rsid w:val="00097260"/>
    <w:rsid w:val="000972A8"/>
    <w:rsid w:val="00097587"/>
    <w:rsid w:val="000975F0"/>
    <w:rsid w:val="0009778A"/>
    <w:rsid w:val="0009789C"/>
    <w:rsid w:val="00097B2A"/>
    <w:rsid w:val="00097BF5"/>
    <w:rsid w:val="00097CCF"/>
    <w:rsid w:val="00097F48"/>
    <w:rsid w:val="000A010F"/>
    <w:rsid w:val="000A0264"/>
    <w:rsid w:val="000A0823"/>
    <w:rsid w:val="000A0CB2"/>
    <w:rsid w:val="000A0CE3"/>
    <w:rsid w:val="000A14CA"/>
    <w:rsid w:val="000A1597"/>
    <w:rsid w:val="000A15CA"/>
    <w:rsid w:val="000A16A4"/>
    <w:rsid w:val="000A1799"/>
    <w:rsid w:val="000A17C6"/>
    <w:rsid w:val="000A1875"/>
    <w:rsid w:val="000A190A"/>
    <w:rsid w:val="000A1959"/>
    <w:rsid w:val="000A19B0"/>
    <w:rsid w:val="000A1BC0"/>
    <w:rsid w:val="000A1D22"/>
    <w:rsid w:val="000A213C"/>
    <w:rsid w:val="000A22CE"/>
    <w:rsid w:val="000A25C8"/>
    <w:rsid w:val="000A2604"/>
    <w:rsid w:val="000A264A"/>
    <w:rsid w:val="000A2B07"/>
    <w:rsid w:val="000A2B0D"/>
    <w:rsid w:val="000A2C93"/>
    <w:rsid w:val="000A2F19"/>
    <w:rsid w:val="000A2F67"/>
    <w:rsid w:val="000A2F85"/>
    <w:rsid w:val="000A353B"/>
    <w:rsid w:val="000A3558"/>
    <w:rsid w:val="000A3985"/>
    <w:rsid w:val="000A3ECA"/>
    <w:rsid w:val="000A3FAE"/>
    <w:rsid w:val="000A4012"/>
    <w:rsid w:val="000A44AE"/>
    <w:rsid w:val="000A46F6"/>
    <w:rsid w:val="000A470F"/>
    <w:rsid w:val="000A4B2A"/>
    <w:rsid w:val="000A4B4C"/>
    <w:rsid w:val="000A4BF1"/>
    <w:rsid w:val="000A4DE5"/>
    <w:rsid w:val="000A4E68"/>
    <w:rsid w:val="000A4EC6"/>
    <w:rsid w:val="000A5039"/>
    <w:rsid w:val="000A5111"/>
    <w:rsid w:val="000A5167"/>
    <w:rsid w:val="000A51C7"/>
    <w:rsid w:val="000A56C9"/>
    <w:rsid w:val="000A5AD1"/>
    <w:rsid w:val="000A5B9E"/>
    <w:rsid w:val="000A5BE1"/>
    <w:rsid w:val="000A6059"/>
    <w:rsid w:val="000A64F5"/>
    <w:rsid w:val="000A6630"/>
    <w:rsid w:val="000A6889"/>
    <w:rsid w:val="000A6C04"/>
    <w:rsid w:val="000A6CE8"/>
    <w:rsid w:val="000A6DB6"/>
    <w:rsid w:val="000A6F1B"/>
    <w:rsid w:val="000A7413"/>
    <w:rsid w:val="000A763F"/>
    <w:rsid w:val="000A777E"/>
    <w:rsid w:val="000A7947"/>
    <w:rsid w:val="000A7A74"/>
    <w:rsid w:val="000A7AD0"/>
    <w:rsid w:val="000A7B0B"/>
    <w:rsid w:val="000A7BCC"/>
    <w:rsid w:val="000B0024"/>
    <w:rsid w:val="000B0269"/>
    <w:rsid w:val="000B0358"/>
    <w:rsid w:val="000B03CA"/>
    <w:rsid w:val="000B03F0"/>
    <w:rsid w:val="000B0428"/>
    <w:rsid w:val="000B0651"/>
    <w:rsid w:val="000B0670"/>
    <w:rsid w:val="000B080C"/>
    <w:rsid w:val="000B087A"/>
    <w:rsid w:val="000B10E2"/>
    <w:rsid w:val="000B1344"/>
    <w:rsid w:val="000B15EE"/>
    <w:rsid w:val="000B17BA"/>
    <w:rsid w:val="000B1888"/>
    <w:rsid w:val="000B18E6"/>
    <w:rsid w:val="000B1B95"/>
    <w:rsid w:val="000B2267"/>
    <w:rsid w:val="000B2863"/>
    <w:rsid w:val="000B291F"/>
    <w:rsid w:val="000B2BAE"/>
    <w:rsid w:val="000B2BFA"/>
    <w:rsid w:val="000B34D5"/>
    <w:rsid w:val="000B34FA"/>
    <w:rsid w:val="000B35E9"/>
    <w:rsid w:val="000B3816"/>
    <w:rsid w:val="000B3A5B"/>
    <w:rsid w:val="000B3C12"/>
    <w:rsid w:val="000B3E5A"/>
    <w:rsid w:val="000B402B"/>
    <w:rsid w:val="000B4287"/>
    <w:rsid w:val="000B43AF"/>
    <w:rsid w:val="000B47A6"/>
    <w:rsid w:val="000B49D4"/>
    <w:rsid w:val="000B4BB7"/>
    <w:rsid w:val="000B4DD6"/>
    <w:rsid w:val="000B4E04"/>
    <w:rsid w:val="000B52C3"/>
    <w:rsid w:val="000B559A"/>
    <w:rsid w:val="000B55A5"/>
    <w:rsid w:val="000B5853"/>
    <w:rsid w:val="000B595C"/>
    <w:rsid w:val="000B596D"/>
    <w:rsid w:val="000B5A06"/>
    <w:rsid w:val="000B5A0B"/>
    <w:rsid w:val="000B5A65"/>
    <w:rsid w:val="000B5E1E"/>
    <w:rsid w:val="000B5E3A"/>
    <w:rsid w:val="000B5F86"/>
    <w:rsid w:val="000B6270"/>
    <w:rsid w:val="000B643B"/>
    <w:rsid w:val="000B66ED"/>
    <w:rsid w:val="000B67ED"/>
    <w:rsid w:val="000B68DC"/>
    <w:rsid w:val="000B6B6F"/>
    <w:rsid w:val="000B6B74"/>
    <w:rsid w:val="000B6DC9"/>
    <w:rsid w:val="000B70D7"/>
    <w:rsid w:val="000B7427"/>
    <w:rsid w:val="000B7428"/>
    <w:rsid w:val="000B7559"/>
    <w:rsid w:val="000B7688"/>
    <w:rsid w:val="000B7A4F"/>
    <w:rsid w:val="000B7A6E"/>
    <w:rsid w:val="000C0155"/>
    <w:rsid w:val="000C0435"/>
    <w:rsid w:val="000C0441"/>
    <w:rsid w:val="000C0C6C"/>
    <w:rsid w:val="000C0D9B"/>
    <w:rsid w:val="000C0FE1"/>
    <w:rsid w:val="000C12AE"/>
    <w:rsid w:val="000C12C1"/>
    <w:rsid w:val="000C137C"/>
    <w:rsid w:val="000C147C"/>
    <w:rsid w:val="000C14D6"/>
    <w:rsid w:val="000C153E"/>
    <w:rsid w:val="000C1616"/>
    <w:rsid w:val="000C1771"/>
    <w:rsid w:val="000C1A88"/>
    <w:rsid w:val="000C1BCF"/>
    <w:rsid w:val="000C1C2B"/>
    <w:rsid w:val="000C1C73"/>
    <w:rsid w:val="000C1FE8"/>
    <w:rsid w:val="000C223D"/>
    <w:rsid w:val="000C236F"/>
    <w:rsid w:val="000C2417"/>
    <w:rsid w:val="000C26FA"/>
    <w:rsid w:val="000C2817"/>
    <w:rsid w:val="000C2908"/>
    <w:rsid w:val="000C2977"/>
    <w:rsid w:val="000C30D2"/>
    <w:rsid w:val="000C3617"/>
    <w:rsid w:val="000C37A3"/>
    <w:rsid w:val="000C38C3"/>
    <w:rsid w:val="000C3992"/>
    <w:rsid w:val="000C3AC1"/>
    <w:rsid w:val="000C3C14"/>
    <w:rsid w:val="000C3CDC"/>
    <w:rsid w:val="000C41F4"/>
    <w:rsid w:val="000C42BD"/>
    <w:rsid w:val="000C4331"/>
    <w:rsid w:val="000C47A4"/>
    <w:rsid w:val="000C4801"/>
    <w:rsid w:val="000C4848"/>
    <w:rsid w:val="000C4A0D"/>
    <w:rsid w:val="000C4AE4"/>
    <w:rsid w:val="000C4B15"/>
    <w:rsid w:val="000C4F9E"/>
    <w:rsid w:val="000C51B6"/>
    <w:rsid w:val="000C528A"/>
    <w:rsid w:val="000C5465"/>
    <w:rsid w:val="000C547D"/>
    <w:rsid w:val="000C60EB"/>
    <w:rsid w:val="000C618E"/>
    <w:rsid w:val="000C6560"/>
    <w:rsid w:val="000C6948"/>
    <w:rsid w:val="000C6CFF"/>
    <w:rsid w:val="000C70B3"/>
    <w:rsid w:val="000C74F3"/>
    <w:rsid w:val="000C75D0"/>
    <w:rsid w:val="000C7750"/>
    <w:rsid w:val="000C78BD"/>
    <w:rsid w:val="000C78E9"/>
    <w:rsid w:val="000C7B15"/>
    <w:rsid w:val="000D0271"/>
    <w:rsid w:val="000D0289"/>
    <w:rsid w:val="000D0301"/>
    <w:rsid w:val="000D04E1"/>
    <w:rsid w:val="000D0800"/>
    <w:rsid w:val="000D08F2"/>
    <w:rsid w:val="000D0DE9"/>
    <w:rsid w:val="000D0E35"/>
    <w:rsid w:val="000D0E64"/>
    <w:rsid w:val="000D1399"/>
    <w:rsid w:val="000D1460"/>
    <w:rsid w:val="000D172B"/>
    <w:rsid w:val="000D1789"/>
    <w:rsid w:val="000D1A02"/>
    <w:rsid w:val="000D1A0E"/>
    <w:rsid w:val="000D1CAA"/>
    <w:rsid w:val="000D2001"/>
    <w:rsid w:val="000D2053"/>
    <w:rsid w:val="000D246E"/>
    <w:rsid w:val="000D2A1C"/>
    <w:rsid w:val="000D2ECD"/>
    <w:rsid w:val="000D3157"/>
    <w:rsid w:val="000D31C5"/>
    <w:rsid w:val="000D33DF"/>
    <w:rsid w:val="000D34BC"/>
    <w:rsid w:val="000D3594"/>
    <w:rsid w:val="000D35A7"/>
    <w:rsid w:val="000D35DC"/>
    <w:rsid w:val="000D38B6"/>
    <w:rsid w:val="000D394B"/>
    <w:rsid w:val="000D399A"/>
    <w:rsid w:val="000D3CA3"/>
    <w:rsid w:val="000D41E2"/>
    <w:rsid w:val="000D42BD"/>
    <w:rsid w:val="000D4447"/>
    <w:rsid w:val="000D44CE"/>
    <w:rsid w:val="000D4A70"/>
    <w:rsid w:val="000D4A80"/>
    <w:rsid w:val="000D4B9C"/>
    <w:rsid w:val="000D4DBB"/>
    <w:rsid w:val="000D504C"/>
    <w:rsid w:val="000D507F"/>
    <w:rsid w:val="000D5212"/>
    <w:rsid w:val="000D52FD"/>
    <w:rsid w:val="000D54AC"/>
    <w:rsid w:val="000D568C"/>
    <w:rsid w:val="000D57E8"/>
    <w:rsid w:val="000D581B"/>
    <w:rsid w:val="000D5905"/>
    <w:rsid w:val="000D591B"/>
    <w:rsid w:val="000D597D"/>
    <w:rsid w:val="000D5EC9"/>
    <w:rsid w:val="000D5F3E"/>
    <w:rsid w:val="000D5FBB"/>
    <w:rsid w:val="000D6430"/>
    <w:rsid w:val="000D645C"/>
    <w:rsid w:val="000D6695"/>
    <w:rsid w:val="000D66AF"/>
    <w:rsid w:val="000D69E4"/>
    <w:rsid w:val="000D6AA0"/>
    <w:rsid w:val="000D6ACD"/>
    <w:rsid w:val="000D6BD3"/>
    <w:rsid w:val="000D6C98"/>
    <w:rsid w:val="000D6E3D"/>
    <w:rsid w:val="000D7141"/>
    <w:rsid w:val="000D716F"/>
    <w:rsid w:val="000D7231"/>
    <w:rsid w:val="000D74C0"/>
    <w:rsid w:val="000D7668"/>
    <w:rsid w:val="000D7A57"/>
    <w:rsid w:val="000D7BF1"/>
    <w:rsid w:val="000D7DCB"/>
    <w:rsid w:val="000D7E68"/>
    <w:rsid w:val="000D7E96"/>
    <w:rsid w:val="000E00DD"/>
    <w:rsid w:val="000E025F"/>
    <w:rsid w:val="000E027D"/>
    <w:rsid w:val="000E02FB"/>
    <w:rsid w:val="000E07E5"/>
    <w:rsid w:val="000E082B"/>
    <w:rsid w:val="000E098A"/>
    <w:rsid w:val="000E0A28"/>
    <w:rsid w:val="000E11A7"/>
    <w:rsid w:val="000E1571"/>
    <w:rsid w:val="000E1617"/>
    <w:rsid w:val="000E1679"/>
    <w:rsid w:val="000E168E"/>
    <w:rsid w:val="000E19BD"/>
    <w:rsid w:val="000E1A48"/>
    <w:rsid w:val="000E1B21"/>
    <w:rsid w:val="000E1FEF"/>
    <w:rsid w:val="000E21D9"/>
    <w:rsid w:val="000E229D"/>
    <w:rsid w:val="000E22B6"/>
    <w:rsid w:val="000E22E3"/>
    <w:rsid w:val="000E23A8"/>
    <w:rsid w:val="000E2409"/>
    <w:rsid w:val="000E25EF"/>
    <w:rsid w:val="000E275C"/>
    <w:rsid w:val="000E28DC"/>
    <w:rsid w:val="000E28DF"/>
    <w:rsid w:val="000E2EAD"/>
    <w:rsid w:val="000E2FA7"/>
    <w:rsid w:val="000E303A"/>
    <w:rsid w:val="000E3252"/>
    <w:rsid w:val="000E3326"/>
    <w:rsid w:val="000E3791"/>
    <w:rsid w:val="000E38E1"/>
    <w:rsid w:val="000E39E9"/>
    <w:rsid w:val="000E3B98"/>
    <w:rsid w:val="000E3BB2"/>
    <w:rsid w:val="000E3CBF"/>
    <w:rsid w:val="000E4419"/>
    <w:rsid w:val="000E443B"/>
    <w:rsid w:val="000E47CC"/>
    <w:rsid w:val="000E4A52"/>
    <w:rsid w:val="000E4C91"/>
    <w:rsid w:val="000E4F40"/>
    <w:rsid w:val="000E5240"/>
    <w:rsid w:val="000E54E5"/>
    <w:rsid w:val="000E5641"/>
    <w:rsid w:val="000E57BD"/>
    <w:rsid w:val="000E59BF"/>
    <w:rsid w:val="000E5C6B"/>
    <w:rsid w:val="000E5C91"/>
    <w:rsid w:val="000E5D02"/>
    <w:rsid w:val="000E601F"/>
    <w:rsid w:val="000E6363"/>
    <w:rsid w:val="000E64F5"/>
    <w:rsid w:val="000E66E6"/>
    <w:rsid w:val="000E67D4"/>
    <w:rsid w:val="000E6809"/>
    <w:rsid w:val="000E6912"/>
    <w:rsid w:val="000E69A6"/>
    <w:rsid w:val="000E6ACB"/>
    <w:rsid w:val="000E6B04"/>
    <w:rsid w:val="000E6BA6"/>
    <w:rsid w:val="000E6CB8"/>
    <w:rsid w:val="000E7018"/>
    <w:rsid w:val="000E70BC"/>
    <w:rsid w:val="000E7129"/>
    <w:rsid w:val="000E7271"/>
    <w:rsid w:val="000E747E"/>
    <w:rsid w:val="000E7664"/>
    <w:rsid w:val="000E788C"/>
    <w:rsid w:val="000E79A6"/>
    <w:rsid w:val="000E7D07"/>
    <w:rsid w:val="000E7D0C"/>
    <w:rsid w:val="000F0653"/>
    <w:rsid w:val="000F0BBB"/>
    <w:rsid w:val="000F1259"/>
    <w:rsid w:val="000F1349"/>
    <w:rsid w:val="000F135E"/>
    <w:rsid w:val="000F1473"/>
    <w:rsid w:val="000F19EE"/>
    <w:rsid w:val="000F1BC0"/>
    <w:rsid w:val="000F1BF3"/>
    <w:rsid w:val="000F1D0C"/>
    <w:rsid w:val="000F1E23"/>
    <w:rsid w:val="000F1E5D"/>
    <w:rsid w:val="000F21CB"/>
    <w:rsid w:val="000F220E"/>
    <w:rsid w:val="000F255D"/>
    <w:rsid w:val="000F2600"/>
    <w:rsid w:val="000F27B7"/>
    <w:rsid w:val="000F2A65"/>
    <w:rsid w:val="000F2B44"/>
    <w:rsid w:val="000F2C5E"/>
    <w:rsid w:val="000F2D8B"/>
    <w:rsid w:val="000F2EE4"/>
    <w:rsid w:val="000F2EFC"/>
    <w:rsid w:val="000F3359"/>
    <w:rsid w:val="000F3724"/>
    <w:rsid w:val="000F38C9"/>
    <w:rsid w:val="000F39FD"/>
    <w:rsid w:val="000F3BDB"/>
    <w:rsid w:val="000F3C5E"/>
    <w:rsid w:val="000F3EF7"/>
    <w:rsid w:val="000F42A5"/>
    <w:rsid w:val="000F43AC"/>
    <w:rsid w:val="000F44BB"/>
    <w:rsid w:val="000F44FE"/>
    <w:rsid w:val="000F4592"/>
    <w:rsid w:val="000F47F1"/>
    <w:rsid w:val="000F4812"/>
    <w:rsid w:val="000F4952"/>
    <w:rsid w:val="000F49BA"/>
    <w:rsid w:val="000F49C7"/>
    <w:rsid w:val="000F4AD5"/>
    <w:rsid w:val="000F4D4C"/>
    <w:rsid w:val="000F4DFF"/>
    <w:rsid w:val="000F4F94"/>
    <w:rsid w:val="000F4FFD"/>
    <w:rsid w:val="000F51E4"/>
    <w:rsid w:val="000F527A"/>
    <w:rsid w:val="000F5977"/>
    <w:rsid w:val="000F5AD5"/>
    <w:rsid w:val="000F5C4B"/>
    <w:rsid w:val="000F5DA6"/>
    <w:rsid w:val="000F61A4"/>
    <w:rsid w:val="000F6598"/>
    <w:rsid w:val="000F65CA"/>
    <w:rsid w:val="000F683D"/>
    <w:rsid w:val="000F68CF"/>
    <w:rsid w:val="000F68EF"/>
    <w:rsid w:val="000F6995"/>
    <w:rsid w:val="000F6E73"/>
    <w:rsid w:val="000F6F28"/>
    <w:rsid w:val="000F71CF"/>
    <w:rsid w:val="000F73D0"/>
    <w:rsid w:val="000F7523"/>
    <w:rsid w:val="000F787B"/>
    <w:rsid w:val="000F7885"/>
    <w:rsid w:val="001002A1"/>
    <w:rsid w:val="001002E7"/>
    <w:rsid w:val="00100477"/>
    <w:rsid w:val="00100601"/>
    <w:rsid w:val="00100DA8"/>
    <w:rsid w:val="00100E52"/>
    <w:rsid w:val="00100ECA"/>
    <w:rsid w:val="0010147A"/>
    <w:rsid w:val="0010170A"/>
    <w:rsid w:val="00101838"/>
    <w:rsid w:val="00101A03"/>
    <w:rsid w:val="00101AEA"/>
    <w:rsid w:val="00101B24"/>
    <w:rsid w:val="00101B85"/>
    <w:rsid w:val="00101C12"/>
    <w:rsid w:val="00101DE3"/>
    <w:rsid w:val="00101E43"/>
    <w:rsid w:val="001022EB"/>
    <w:rsid w:val="00102524"/>
    <w:rsid w:val="00102632"/>
    <w:rsid w:val="001026DA"/>
    <w:rsid w:val="0010270B"/>
    <w:rsid w:val="00102892"/>
    <w:rsid w:val="00102BB5"/>
    <w:rsid w:val="00102ED1"/>
    <w:rsid w:val="0010311B"/>
    <w:rsid w:val="001031E2"/>
    <w:rsid w:val="001032C8"/>
    <w:rsid w:val="00103369"/>
    <w:rsid w:val="00103388"/>
    <w:rsid w:val="001035A3"/>
    <w:rsid w:val="001035F4"/>
    <w:rsid w:val="001036CA"/>
    <w:rsid w:val="001036F7"/>
    <w:rsid w:val="0010386D"/>
    <w:rsid w:val="001038F6"/>
    <w:rsid w:val="00103B0A"/>
    <w:rsid w:val="00103BB4"/>
    <w:rsid w:val="00103F02"/>
    <w:rsid w:val="0010404B"/>
    <w:rsid w:val="00104247"/>
    <w:rsid w:val="001045CD"/>
    <w:rsid w:val="001045F9"/>
    <w:rsid w:val="0010486D"/>
    <w:rsid w:val="00104A67"/>
    <w:rsid w:val="00104ABB"/>
    <w:rsid w:val="00104B8D"/>
    <w:rsid w:val="00104D97"/>
    <w:rsid w:val="00104DA6"/>
    <w:rsid w:val="001050A9"/>
    <w:rsid w:val="0010511F"/>
    <w:rsid w:val="00105179"/>
    <w:rsid w:val="00105200"/>
    <w:rsid w:val="00105463"/>
    <w:rsid w:val="0010547A"/>
    <w:rsid w:val="0010548C"/>
    <w:rsid w:val="00105544"/>
    <w:rsid w:val="00105555"/>
    <w:rsid w:val="00105604"/>
    <w:rsid w:val="00105758"/>
    <w:rsid w:val="00105AAF"/>
    <w:rsid w:val="00105D18"/>
    <w:rsid w:val="00106281"/>
    <w:rsid w:val="001063C3"/>
    <w:rsid w:val="001063CD"/>
    <w:rsid w:val="001064DF"/>
    <w:rsid w:val="0010696F"/>
    <w:rsid w:val="00106972"/>
    <w:rsid w:val="00106AF3"/>
    <w:rsid w:val="00106B4E"/>
    <w:rsid w:val="00106B95"/>
    <w:rsid w:val="00106C61"/>
    <w:rsid w:val="00107011"/>
    <w:rsid w:val="00107219"/>
    <w:rsid w:val="001073EB"/>
    <w:rsid w:val="0010774F"/>
    <w:rsid w:val="00107A45"/>
    <w:rsid w:val="00107A6A"/>
    <w:rsid w:val="00107B82"/>
    <w:rsid w:val="00107DD2"/>
    <w:rsid w:val="00107EF8"/>
    <w:rsid w:val="00107FF1"/>
    <w:rsid w:val="00110098"/>
    <w:rsid w:val="0011046A"/>
    <w:rsid w:val="001107F1"/>
    <w:rsid w:val="00110D61"/>
    <w:rsid w:val="00110D65"/>
    <w:rsid w:val="00110F47"/>
    <w:rsid w:val="001110FB"/>
    <w:rsid w:val="00111476"/>
    <w:rsid w:val="00111806"/>
    <w:rsid w:val="001119B3"/>
    <w:rsid w:val="00111BEA"/>
    <w:rsid w:val="00111C30"/>
    <w:rsid w:val="00111CF9"/>
    <w:rsid w:val="00111D84"/>
    <w:rsid w:val="00111FD5"/>
    <w:rsid w:val="001123C6"/>
    <w:rsid w:val="001123D5"/>
    <w:rsid w:val="0011247C"/>
    <w:rsid w:val="00112569"/>
    <w:rsid w:val="001125EE"/>
    <w:rsid w:val="00112EF2"/>
    <w:rsid w:val="00112FF6"/>
    <w:rsid w:val="00113214"/>
    <w:rsid w:val="001132EF"/>
    <w:rsid w:val="0011349E"/>
    <w:rsid w:val="00113677"/>
    <w:rsid w:val="0011371D"/>
    <w:rsid w:val="00113748"/>
    <w:rsid w:val="001138CF"/>
    <w:rsid w:val="0011396B"/>
    <w:rsid w:val="00113AB2"/>
    <w:rsid w:val="00113B80"/>
    <w:rsid w:val="00113BAC"/>
    <w:rsid w:val="00113D0A"/>
    <w:rsid w:val="00113FCE"/>
    <w:rsid w:val="00114002"/>
    <w:rsid w:val="00114230"/>
    <w:rsid w:val="001142DC"/>
    <w:rsid w:val="00114459"/>
    <w:rsid w:val="001145A5"/>
    <w:rsid w:val="0011461A"/>
    <w:rsid w:val="0011467D"/>
    <w:rsid w:val="00114760"/>
    <w:rsid w:val="00114780"/>
    <w:rsid w:val="001149CF"/>
    <w:rsid w:val="001151E3"/>
    <w:rsid w:val="0011555C"/>
    <w:rsid w:val="001155B5"/>
    <w:rsid w:val="0011562F"/>
    <w:rsid w:val="001156A1"/>
    <w:rsid w:val="0011574F"/>
    <w:rsid w:val="001157ED"/>
    <w:rsid w:val="00115A1C"/>
    <w:rsid w:val="00115BCB"/>
    <w:rsid w:val="00115C19"/>
    <w:rsid w:val="00115F88"/>
    <w:rsid w:val="001160AE"/>
    <w:rsid w:val="0011621F"/>
    <w:rsid w:val="00116660"/>
    <w:rsid w:val="00116DB8"/>
    <w:rsid w:val="00116F94"/>
    <w:rsid w:val="00117071"/>
    <w:rsid w:val="00117127"/>
    <w:rsid w:val="00117A48"/>
    <w:rsid w:val="00117C1E"/>
    <w:rsid w:val="00117CE7"/>
    <w:rsid w:val="00117DBF"/>
    <w:rsid w:val="00120400"/>
    <w:rsid w:val="0012081E"/>
    <w:rsid w:val="00120858"/>
    <w:rsid w:val="00120A48"/>
    <w:rsid w:val="00120B66"/>
    <w:rsid w:val="00120B87"/>
    <w:rsid w:val="00120BF8"/>
    <w:rsid w:val="00120D47"/>
    <w:rsid w:val="00120DAD"/>
    <w:rsid w:val="00121092"/>
    <w:rsid w:val="001213BE"/>
    <w:rsid w:val="0012153F"/>
    <w:rsid w:val="00121652"/>
    <w:rsid w:val="00121C7C"/>
    <w:rsid w:val="001222F1"/>
    <w:rsid w:val="00122300"/>
    <w:rsid w:val="0012230A"/>
    <w:rsid w:val="0012243D"/>
    <w:rsid w:val="00122493"/>
    <w:rsid w:val="001225DB"/>
    <w:rsid w:val="00122A99"/>
    <w:rsid w:val="00122E86"/>
    <w:rsid w:val="00122F12"/>
    <w:rsid w:val="0012327C"/>
    <w:rsid w:val="001232A5"/>
    <w:rsid w:val="001233C2"/>
    <w:rsid w:val="0012364C"/>
    <w:rsid w:val="001236C2"/>
    <w:rsid w:val="00123B7E"/>
    <w:rsid w:val="00123D13"/>
    <w:rsid w:val="00123E0D"/>
    <w:rsid w:val="00123E20"/>
    <w:rsid w:val="00123EE7"/>
    <w:rsid w:val="00123F37"/>
    <w:rsid w:val="00123F4A"/>
    <w:rsid w:val="0012401A"/>
    <w:rsid w:val="00124032"/>
    <w:rsid w:val="001245FE"/>
    <w:rsid w:val="00124887"/>
    <w:rsid w:val="00124955"/>
    <w:rsid w:val="001249B3"/>
    <w:rsid w:val="00124B24"/>
    <w:rsid w:val="00124CE7"/>
    <w:rsid w:val="00124E23"/>
    <w:rsid w:val="00124F1E"/>
    <w:rsid w:val="00125225"/>
    <w:rsid w:val="0012541A"/>
    <w:rsid w:val="0012548E"/>
    <w:rsid w:val="001254A4"/>
    <w:rsid w:val="001254AF"/>
    <w:rsid w:val="00125B4D"/>
    <w:rsid w:val="00125D54"/>
    <w:rsid w:val="00125E3C"/>
    <w:rsid w:val="001263DC"/>
    <w:rsid w:val="0012683E"/>
    <w:rsid w:val="00126AA2"/>
    <w:rsid w:val="00127131"/>
    <w:rsid w:val="0012722D"/>
    <w:rsid w:val="0012764D"/>
    <w:rsid w:val="00127DFA"/>
    <w:rsid w:val="00127E9A"/>
    <w:rsid w:val="00127EA6"/>
    <w:rsid w:val="00127F0D"/>
    <w:rsid w:val="0013016E"/>
    <w:rsid w:val="00130195"/>
    <w:rsid w:val="00130266"/>
    <w:rsid w:val="001304FA"/>
    <w:rsid w:val="001305E1"/>
    <w:rsid w:val="00130638"/>
    <w:rsid w:val="00130677"/>
    <w:rsid w:val="001306B7"/>
    <w:rsid w:val="001307B6"/>
    <w:rsid w:val="001307DB"/>
    <w:rsid w:val="00130B7E"/>
    <w:rsid w:val="00130BFE"/>
    <w:rsid w:val="00130CD1"/>
    <w:rsid w:val="00130D27"/>
    <w:rsid w:val="00130DDE"/>
    <w:rsid w:val="0013184D"/>
    <w:rsid w:val="00131BD3"/>
    <w:rsid w:val="00131ED4"/>
    <w:rsid w:val="00131EE7"/>
    <w:rsid w:val="001323D0"/>
    <w:rsid w:val="0013254C"/>
    <w:rsid w:val="00132683"/>
    <w:rsid w:val="00132878"/>
    <w:rsid w:val="001329BA"/>
    <w:rsid w:val="00132A8B"/>
    <w:rsid w:val="00132AD9"/>
    <w:rsid w:val="00132E78"/>
    <w:rsid w:val="00132F62"/>
    <w:rsid w:val="0013354B"/>
    <w:rsid w:val="001335D3"/>
    <w:rsid w:val="00133673"/>
    <w:rsid w:val="001338EF"/>
    <w:rsid w:val="00133B7E"/>
    <w:rsid w:val="00134132"/>
    <w:rsid w:val="001343C0"/>
    <w:rsid w:val="001346D3"/>
    <w:rsid w:val="00134761"/>
    <w:rsid w:val="00134827"/>
    <w:rsid w:val="00134985"/>
    <w:rsid w:val="00134C7C"/>
    <w:rsid w:val="00134EC9"/>
    <w:rsid w:val="001351A6"/>
    <w:rsid w:val="0013525F"/>
    <w:rsid w:val="00135289"/>
    <w:rsid w:val="001352B3"/>
    <w:rsid w:val="0013539B"/>
    <w:rsid w:val="0013591D"/>
    <w:rsid w:val="00135FC3"/>
    <w:rsid w:val="001360A5"/>
    <w:rsid w:val="00136106"/>
    <w:rsid w:val="001362AE"/>
    <w:rsid w:val="001367F7"/>
    <w:rsid w:val="001368C7"/>
    <w:rsid w:val="0013698B"/>
    <w:rsid w:val="00136A69"/>
    <w:rsid w:val="00136ABA"/>
    <w:rsid w:val="00136D81"/>
    <w:rsid w:val="00136F45"/>
    <w:rsid w:val="00136F7E"/>
    <w:rsid w:val="00137053"/>
    <w:rsid w:val="001370F3"/>
    <w:rsid w:val="00137308"/>
    <w:rsid w:val="001373AF"/>
    <w:rsid w:val="001373F4"/>
    <w:rsid w:val="001373FB"/>
    <w:rsid w:val="00137784"/>
    <w:rsid w:val="0013778E"/>
    <w:rsid w:val="0013785F"/>
    <w:rsid w:val="00137901"/>
    <w:rsid w:val="0013797A"/>
    <w:rsid w:val="00137C56"/>
    <w:rsid w:val="00137D18"/>
    <w:rsid w:val="00137D20"/>
    <w:rsid w:val="00137F43"/>
    <w:rsid w:val="00140175"/>
    <w:rsid w:val="00140467"/>
    <w:rsid w:val="001405E8"/>
    <w:rsid w:val="00140771"/>
    <w:rsid w:val="00140A94"/>
    <w:rsid w:val="00140CBF"/>
    <w:rsid w:val="00140D49"/>
    <w:rsid w:val="00140F56"/>
    <w:rsid w:val="0014106F"/>
    <w:rsid w:val="001414F9"/>
    <w:rsid w:val="00141682"/>
    <w:rsid w:val="00141A15"/>
    <w:rsid w:val="00141C0C"/>
    <w:rsid w:val="00141C2F"/>
    <w:rsid w:val="00141D2A"/>
    <w:rsid w:val="00141ED1"/>
    <w:rsid w:val="001423E0"/>
    <w:rsid w:val="001425B4"/>
    <w:rsid w:val="0014260E"/>
    <w:rsid w:val="00142621"/>
    <w:rsid w:val="00142822"/>
    <w:rsid w:val="001428E1"/>
    <w:rsid w:val="00142A41"/>
    <w:rsid w:val="00142A5F"/>
    <w:rsid w:val="00142B13"/>
    <w:rsid w:val="00142B52"/>
    <w:rsid w:val="00142BCE"/>
    <w:rsid w:val="00142F5A"/>
    <w:rsid w:val="001430EF"/>
    <w:rsid w:val="00143246"/>
    <w:rsid w:val="00143587"/>
    <w:rsid w:val="0014381C"/>
    <w:rsid w:val="00143A04"/>
    <w:rsid w:val="00143DF5"/>
    <w:rsid w:val="00143F22"/>
    <w:rsid w:val="00144158"/>
    <w:rsid w:val="00144347"/>
    <w:rsid w:val="00144586"/>
    <w:rsid w:val="001445F4"/>
    <w:rsid w:val="001447E1"/>
    <w:rsid w:val="00144B65"/>
    <w:rsid w:val="00144BEF"/>
    <w:rsid w:val="00144D08"/>
    <w:rsid w:val="00144DC5"/>
    <w:rsid w:val="00144F16"/>
    <w:rsid w:val="001455F1"/>
    <w:rsid w:val="0014598E"/>
    <w:rsid w:val="001461FD"/>
    <w:rsid w:val="0014629E"/>
    <w:rsid w:val="00146730"/>
    <w:rsid w:val="00146B0F"/>
    <w:rsid w:val="00146D8E"/>
    <w:rsid w:val="00146F5F"/>
    <w:rsid w:val="00147E7C"/>
    <w:rsid w:val="00147EE0"/>
    <w:rsid w:val="00147F17"/>
    <w:rsid w:val="00147F28"/>
    <w:rsid w:val="00150077"/>
    <w:rsid w:val="00150128"/>
    <w:rsid w:val="001501C9"/>
    <w:rsid w:val="001502C5"/>
    <w:rsid w:val="00150689"/>
    <w:rsid w:val="0015073A"/>
    <w:rsid w:val="0015074B"/>
    <w:rsid w:val="0015083B"/>
    <w:rsid w:val="00150893"/>
    <w:rsid w:val="001508B7"/>
    <w:rsid w:val="00150D99"/>
    <w:rsid w:val="00150DED"/>
    <w:rsid w:val="00150F98"/>
    <w:rsid w:val="001511AB"/>
    <w:rsid w:val="00151302"/>
    <w:rsid w:val="00151523"/>
    <w:rsid w:val="001515EB"/>
    <w:rsid w:val="00151692"/>
    <w:rsid w:val="00151AE9"/>
    <w:rsid w:val="00151C68"/>
    <w:rsid w:val="001520C4"/>
    <w:rsid w:val="00152294"/>
    <w:rsid w:val="00152637"/>
    <w:rsid w:val="001527BB"/>
    <w:rsid w:val="0015295A"/>
    <w:rsid w:val="00152A62"/>
    <w:rsid w:val="00152AA5"/>
    <w:rsid w:val="00152C52"/>
    <w:rsid w:val="00152F28"/>
    <w:rsid w:val="00152F31"/>
    <w:rsid w:val="001531CC"/>
    <w:rsid w:val="0015340F"/>
    <w:rsid w:val="00153417"/>
    <w:rsid w:val="00153977"/>
    <w:rsid w:val="00153A17"/>
    <w:rsid w:val="00153B51"/>
    <w:rsid w:val="00153D62"/>
    <w:rsid w:val="00153DF2"/>
    <w:rsid w:val="00153E9D"/>
    <w:rsid w:val="00153F63"/>
    <w:rsid w:val="0015427D"/>
    <w:rsid w:val="0015428E"/>
    <w:rsid w:val="00154329"/>
    <w:rsid w:val="00154451"/>
    <w:rsid w:val="00154601"/>
    <w:rsid w:val="001549AF"/>
    <w:rsid w:val="00154B5A"/>
    <w:rsid w:val="00154BBC"/>
    <w:rsid w:val="0015532B"/>
    <w:rsid w:val="00155679"/>
    <w:rsid w:val="001556F5"/>
    <w:rsid w:val="00155988"/>
    <w:rsid w:val="00155BC2"/>
    <w:rsid w:val="00156051"/>
    <w:rsid w:val="0015613B"/>
    <w:rsid w:val="001562AD"/>
    <w:rsid w:val="00156321"/>
    <w:rsid w:val="00156454"/>
    <w:rsid w:val="0015657B"/>
    <w:rsid w:val="00156690"/>
    <w:rsid w:val="00156D85"/>
    <w:rsid w:val="00157204"/>
    <w:rsid w:val="00157235"/>
    <w:rsid w:val="0015728B"/>
    <w:rsid w:val="001574B4"/>
    <w:rsid w:val="001575A9"/>
    <w:rsid w:val="00157A63"/>
    <w:rsid w:val="00157A66"/>
    <w:rsid w:val="00157C45"/>
    <w:rsid w:val="00157DE8"/>
    <w:rsid w:val="00157F21"/>
    <w:rsid w:val="001600F6"/>
    <w:rsid w:val="001603A0"/>
    <w:rsid w:val="001607CD"/>
    <w:rsid w:val="00160B81"/>
    <w:rsid w:val="00160CF5"/>
    <w:rsid w:val="00160DD5"/>
    <w:rsid w:val="00161067"/>
    <w:rsid w:val="0016121C"/>
    <w:rsid w:val="00161230"/>
    <w:rsid w:val="00161263"/>
    <w:rsid w:val="0016128B"/>
    <w:rsid w:val="00161443"/>
    <w:rsid w:val="001616D0"/>
    <w:rsid w:val="0016173D"/>
    <w:rsid w:val="00161885"/>
    <w:rsid w:val="001618B8"/>
    <w:rsid w:val="00161990"/>
    <w:rsid w:val="001619D9"/>
    <w:rsid w:val="00161B71"/>
    <w:rsid w:val="00161C64"/>
    <w:rsid w:val="00161DD1"/>
    <w:rsid w:val="00161FAE"/>
    <w:rsid w:val="00161FCE"/>
    <w:rsid w:val="0016236B"/>
    <w:rsid w:val="001627E6"/>
    <w:rsid w:val="00162814"/>
    <w:rsid w:val="00162998"/>
    <w:rsid w:val="00162C64"/>
    <w:rsid w:val="00162CDF"/>
    <w:rsid w:val="00162D9A"/>
    <w:rsid w:val="00162EBE"/>
    <w:rsid w:val="00163015"/>
    <w:rsid w:val="001630A3"/>
    <w:rsid w:val="00163488"/>
    <w:rsid w:val="00163513"/>
    <w:rsid w:val="0016356C"/>
    <w:rsid w:val="0016372C"/>
    <w:rsid w:val="00163B6E"/>
    <w:rsid w:val="00163F72"/>
    <w:rsid w:val="0016402B"/>
    <w:rsid w:val="00164344"/>
    <w:rsid w:val="00164364"/>
    <w:rsid w:val="00164582"/>
    <w:rsid w:val="00164673"/>
    <w:rsid w:val="0016469E"/>
    <w:rsid w:val="001647FF"/>
    <w:rsid w:val="00164EEE"/>
    <w:rsid w:val="00164F17"/>
    <w:rsid w:val="00164F1E"/>
    <w:rsid w:val="00164F97"/>
    <w:rsid w:val="00165281"/>
    <w:rsid w:val="001655A8"/>
    <w:rsid w:val="0016565C"/>
    <w:rsid w:val="001659CD"/>
    <w:rsid w:val="00165A54"/>
    <w:rsid w:val="00165C6F"/>
    <w:rsid w:val="00165CFE"/>
    <w:rsid w:val="00165E5E"/>
    <w:rsid w:val="00166150"/>
    <w:rsid w:val="00166292"/>
    <w:rsid w:val="001666D1"/>
    <w:rsid w:val="001668C0"/>
    <w:rsid w:val="001668DE"/>
    <w:rsid w:val="00166C2F"/>
    <w:rsid w:val="00167058"/>
    <w:rsid w:val="00167198"/>
    <w:rsid w:val="0016728E"/>
    <w:rsid w:val="001674C1"/>
    <w:rsid w:val="00167510"/>
    <w:rsid w:val="0016754B"/>
    <w:rsid w:val="001676DF"/>
    <w:rsid w:val="00167732"/>
    <w:rsid w:val="001678AB"/>
    <w:rsid w:val="001678D8"/>
    <w:rsid w:val="0016794E"/>
    <w:rsid w:val="0016799A"/>
    <w:rsid w:val="001679A9"/>
    <w:rsid w:val="00167D3F"/>
    <w:rsid w:val="00167E8B"/>
    <w:rsid w:val="0017022F"/>
    <w:rsid w:val="0017039F"/>
    <w:rsid w:val="001706CC"/>
    <w:rsid w:val="001709C5"/>
    <w:rsid w:val="00170ABE"/>
    <w:rsid w:val="00170ACE"/>
    <w:rsid w:val="00170BFA"/>
    <w:rsid w:val="00170F7E"/>
    <w:rsid w:val="0017104D"/>
    <w:rsid w:val="001710B0"/>
    <w:rsid w:val="001710F4"/>
    <w:rsid w:val="001712BB"/>
    <w:rsid w:val="001712C4"/>
    <w:rsid w:val="00171564"/>
    <w:rsid w:val="00171800"/>
    <w:rsid w:val="00171A6B"/>
    <w:rsid w:val="00171DDC"/>
    <w:rsid w:val="00172195"/>
    <w:rsid w:val="001721E4"/>
    <w:rsid w:val="001722ED"/>
    <w:rsid w:val="0017231D"/>
    <w:rsid w:val="0017235A"/>
    <w:rsid w:val="00172361"/>
    <w:rsid w:val="0017242D"/>
    <w:rsid w:val="001724DA"/>
    <w:rsid w:val="0017258A"/>
    <w:rsid w:val="001725D8"/>
    <w:rsid w:val="0017262B"/>
    <w:rsid w:val="00172A27"/>
    <w:rsid w:val="00172A61"/>
    <w:rsid w:val="00172AFD"/>
    <w:rsid w:val="00172E12"/>
    <w:rsid w:val="001733D5"/>
    <w:rsid w:val="001734E2"/>
    <w:rsid w:val="00173B54"/>
    <w:rsid w:val="00173EA4"/>
    <w:rsid w:val="0017406B"/>
    <w:rsid w:val="0017415F"/>
    <w:rsid w:val="001741A3"/>
    <w:rsid w:val="00174214"/>
    <w:rsid w:val="00174335"/>
    <w:rsid w:val="0017452E"/>
    <w:rsid w:val="00174A24"/>
    <w:rsid w:val="00174FBB"/>
    <w:rsid w:val="0017505E"/>
    <w:rsid w:val="001759C9"/>
    <w:rsid w:val="00175AE7"/>
    <w:rsid w:val="00175AF5"/>
    <w:rsid w:val="00175BA2"/>
    <w:rsid w:val="00175BF4"/>
    <w:rsid w:val="001764AF"/>
    <w:rsid w:val="00176622"/>
    <w:rsid w:val="001766A2"/>
    <w:rsid w:val="00176BA7"/>
    <w:rsid w:val="001770D0"/>
    <w:rsid w:val="00177227"/>
    <w:rsid w:val="001773DF"/>
    <w:rsid w:val="00177405"/>
    <w:rsid w:val="0017741E"/>
    <w:rsid w:val="00177554"/>
    <w:rsid w:val="00177794"/>
    <w:rsid w:val="00177856"/>
    <w:rsid w:val="001778F5"/>
    <w:rsid w:val="00177902"/>
    <w:rsid w:val="00177989"/>
    <w:rsid w:val="00177CC3"/>
    <w:rsid w:val="00177DF8"/>
    <w:rsid w:val="001800F2"/>
    <w:rsid w:val="00180253"/>
    <w:rsid w:val="00180293"/>
    <w:rsid w:val="00180415"/>
    <w:rsid w:val="0018084E"/>
    <w:rsid w:val="001808BD"/>
    <w:rsid w:val="00180A0E"/>
    <w:rsid w:val="0018129F"/>
    <w:rsid w:val="001812F1"/>
    <w:rsid w:val="001813D6"/>
    <w:rsid w:val="00181612"/>
    <w:rsid w:val="00181646"/>
    <w:rsid w:val="0018165C"/>
    <w:rsid w:val="001816A7"/>
    <w:rsid w:val="00181713"/>
    <w:rsid w:val="00181BA7"/>
    <w:rsid w:val="00181BB6"/>
    <w:rsid w:val="00181DE1"/>
    <w:rsid w:val="00181F17"/>
    <w:rsid w:val="00181F92"/>
    <w:rsid w:val="001821BD"/>
    <w:rsid w:val="00182529"/>
    <w:rsid w:val="001828BD"/>
    <w:rsid w:val="00182905"/>
    <w:rsid w:val="00182956"/>
    <w:rsid w:val="00182991"/>
    <w:rsid w:val="001829E7"/>
    <w:rsid w:val="00182E9D"/>
    <w:rsid w:val="00182EAE"/>
    <w:rsid w:val="00183021"/>
    <w:rsid w:val="00183228"/>
    <w:rsid w:val="00183363"/>
    <w:rsid w:val="0018342C"/>
    <w:rsid w:val="0018343F"/>
    <w:rsid w:val="0018375A"/>
    <w:rsid w:val="0018390A"/>
    <w:rsid w:val="00183945"/>
    <w:rsid w:val="001839D4"/>
    <w:rsid w:val="00183A73"/>
    <w:rsid w:val="00183DA2"/>
    <w:rsid w:val="00183DE1"/>
    <w:rsid w:val="00183E4C"/>
    <w:rsid w:val="00183F28"/>
    <w:rsid w:val="00183FCE"/>
    <w:rsid w:val="001841B0"/>
    <w:rsid w:val="0018422A"/>
    <w:rsid w:val="0018459E"/>
    <w:rsid w:val="00184640"/>
    <w:rsid w:val="00184668"/>
    <w:rsid w:val="0018469B"/>
    <w:rsid w:val="001847DE"/>
    <w:rsid w:val="001848C8"/>
    <w:rsid w:val="0018493B"/>
    <w:rsid w:val="00184944"/>
    <w:rsid w:val="00184984"/>
    <w:rsid w:val="00184C76"/>
    <w:rsid w:val="00184D48"/>
    <w:rsid w:val="00184E41"/>
    <w:rsid w:val="00184EE1"/>
    <w:rsid w:val="001851B9"/>
    <w:rsid w:val="0018546B"/>
    <w:rsid w:val="001854D9"/>
    <w:rsid w:val="0018588D"/>
    <w:rsid w:val="001858D4"/>
    <w:rsid w:val="00185AA7"/>
    <w:rsid w:val="001861BD"/>
    <w:rsid w:val="00186231"/>
    <w:rsid w:val="001869AD"/>
    <w:rsid w:val="00186C46"/>
    <w:rsid w:val="00186C80"/>
    <w:rsid w:val="00186CB4"/>
    <w:rsid w:val="00186FE0"/>
    <w:rsid w:val="0018720F"/>
    <w:rsid w:val="001872A4"/>
    <w:rsid w:val="0018786D"/>
    <w:rsid w:val="00187E80"/>
    <w:rsid w:val="00190098"/>
    <w:rsid w:val="001901CD"/>
    <w:rsid w:val="00190296"/>
    <w:rsid w:val="001903C7"/>
    <w:rsid w:val="001903FB"/>
    <w:rsid w:val="001905CB"/>
    <w:rsid w:val="001909A7"/>
    <w:rsid w:val="00190AF1"/>
    <w:rsid w:val="00190B4C"/>
    <w:rsid w:val="00190D49"/>
    <w:rsid w:val="00190E21"/>
    <w:rsid w:val="00190F10"/>
    <w:rsid w:val="00191544"/>
    <w:rsid w:val="00191593"/>
    <w:rsid w:val="001915E7"/>
    <w:rsid w:val="0019175C"/>
    <w:rsid w:val="00191816"/>
    <w:rsid w:val="001919BD"/>
    <w:rsid w:val="00191BD4"/>
    <w:rsid w:val="00191C98"/>
    <w:rsid w:val="001924AC"/>
    <w:rsid w:val="0019268C"/>
    <w:rsid w:val="001929E4"/>
    <w:rsid w:val="00192A77"/>
    <w:rsid w:val="00192C62"/>
    <w:rsid w:val="00192CCD"/>
    <w:rsid w:val="00192FF9"/>
    <w:rsid w:val="00193058"/>
    <w:rsid w:val="00193152"/>
    <w:rsid w:val="00193479"/>
    <w:rsid w:val="00193952"/>
    <w:rsid w:val="00194176"/>
    <w:rsid w:val="001943FD"/>
    <w:rsid w:val="0019462D"/>
    <w:rsid w:val="00194641"/>
    <w:rsid w:val="0019480A"/>
    <w:rsid w:val="0019484F"/>
    <w:rsid w:val="001948F7"/>
    <w:rsid w:val="0019498F"/>
    <w:rsid w:val="00194B86"/>
    <w:rsid w:val="00194B97"/>
    <w:rsid w:val="00194BF0"/>
    <w:rsid w:val="00195337"/>
    <w:rsid w:val="001955C5"/>
    <w:rsid w:val="001955E0"/>
    <w:rsid w:val="001959B7"/>
    <w:rsid w:val="00195B11"/>
    <w:rsid w:val="00195CD4"/>
    <w:rsid w:val="00195D79"/>
    <w:rsid w:val="00195DC2"/>
    <w:rsid w:val="00195E50"/>
    <w:rsid w:val="001960D8"/>
    <w:rsid w:val="00196261"/>
    <w:rsid w:val="00196264"/>
    <w:rsid w:val="0019660A"/>
    <w:rsid w:val="00196671"/>
    <w:rsid w:val="001966CC"/>
    <w:rsid w:val="00196800"/>
    <w:rsid w:val="0019687E"/>
    <w:rsid w:val="00196A73"/>
    <w:rsid w:val="00196CBF"/>
    <w:rsid w:val="00196D22"/>
    <w:rsid w:val="00196F8E"/>
    <w:rsid w:val="001973C2"/>
    <w:rsid w:val="001974B9"/>
    <w:rsid w:val="001974C5"/>
    <w:rsid w:val="0019768D"/>
    <w:rsid w:val="00197770"/>
    <w:rsid w:val="001977B2"/>
    <w:rsid w:val="001977FA"/>
    <w:rsid w:val="00197AC0"/>
    <w:rsid w:val="00197B4C"/>
    <w:rsid w:val="00197FCB"/>
    <w:rsid w:val="001A0081"/>
    <w:rsid w:val="001A01A5"/>
    <w:rsid w:val="001A0201"/>
    <w:rsid w:val="001A0282"/>
    <w:rsid w:val="001A03DE"/>
    <w:rsid w:val="001A06BD"/>
    <w:rsid w:val="001A07BF"/>
    <w:rsid w:val="001A0B74"/>
    <w:rsid w:val="001A0B99"/>
    <w:rsid w:val="001A0BAE"/>
    <w:rsid w:val="001A0CF6"/>
    <w:rsid w:val="001A1182"/>
    <w:rsid w:val="001A1544"/>
    <w:rsid w:val="001A1866"/>
    <w:rsid w:val="001A190B"/>
    <w:rsid w:val="001A1A4E"/>
    <w:rsid w:val="001A1E64"/>
    <w:rsid w:val="001A1E84"/>
    <w:rsid w:val="001A1F8E"/>
    <w:rsid w:val="001A26D8"/>
    <w:rsid w:val="001A278E"/>
    <w:rsid w:val="001A27D1"/>
    <w:rsid w:val="001A2823"/>
    <w:rsid w:val="001A28B3"/>
    <w:rsid w:val="001A2AD7"/>
    <w:rsid w:val="001A2AF5"/>
    <w:rsid w:val="001A2D8A"/>
    <w:rsid w:val="001A2E5A"/>
    <w:rsid w:val="001A2F0C"/>
    <w:rsid w:val="001A3016"/>
    <w:rsid w:val="001A3040"/>
    <w:rsid w:val="001A310B"/>
    <w:rsid w:val="001A3276"/>
    <w:rsid w:val="001A35C0"/>
    <w:rsid w:val="001A3C2A"/>
    <w:rsid w:val="001A3D05"/>
    <w:rsid w:val="001A451A"/>
    <w:rsid w:val="001A457C"/>
    <w:rsid w:val="001A459A"/>
    <w:rsid w:val="001A4B30"/>
    <w:rsid w:val="001A4B32"/>
    <w:rsid w:val="001A4BA0"/>
    <w:rsid w:val="001A4EA7"/>
    <w:rsid w:val="001A4F3A"/>
    <w:rsid w:val="001A4F8E"/>
    <w:rsid w:val="001A5096"/>
    <w:rsid w:val="001A51AA"/>
    <w:rsid w:val="001A51BB"/>
    <w:rsid w:val="001A5268"/>
    <w:rsid w:val="001A53D4"/>
    <w:rsid w:val="001A54C0"/>
    <w:rsid w:val="001A578F"/>
    <w:rsid w:val="001A594E"/>
    <w:rsid w:val="001A5A16"/>
    <w:rsid w:val="001A5B8A"/>
    <w:rsid w:val="001A5C1D"/>
    <w:rsid w:val="001A5CCA"/>
    <w:rsid w:val="001A5F8A"/>
    <w:rsid w:val="001A6512"/>
    <w:rsid w:val="001A6895"/>
    <w:rsid w:val="001A6A1E"/>
    <w:rsid w:val="001A719C"/>
    <w:rsid w:val="001A71ED"/>
    <w:rsid w:val="001A7375"/>
    <w:rsid w:val="001A75AC"/>
    <w:rsid w:val="001A777A"/>
    <w:rsid w:val="001A785F"/>
    <w:rsid w:val="001A7895"/>
    <w:rsid w:val="001A7A02"/>
    <w:rsid w:val="001A7A42"/>
    <w:rsid w:val="001A7A81"/>
    <w:rsid w:val="001A7D0F"/>
    <w:rsid w:val="001A7D9D"/>
    <w:rsid w:val="001A7EEA"/>
    <w:rsid w:val="001A7EF7"/>
    <w:rsid w:val="001B007D"/>
    <w:rsid w:val="001B032E"/>
    <w:rsid w:val="001B0330"/>
    <w:rsid w:val="001B0484"/>
    <w:rsid w:val="001B05C4"/>
    <w:rsid w:val="001B08B1"/>
    <w:rsid w:val="001B0A75"/>
    <w:rsid w:val="001B0C65"/>
    <w:rsid w:val="001B0D4E"/>
    <w:rsid w:val="001B0DF4"/>
    <w:rsid w:val="001B1305"/>
    <w:rsid w:val="001B139E"/>
    <w:rsid w:val="001B15F1"/>
    <w:rsid w:val="001B1958"/>
    <w:rsid w:val="001B19E5"/>
    <w:rsid w:val="001B1A7D"/>
    <w:rsid w:val="001B1BF0"/>
    <w:rsid w:val="001B1F60"/>
    <w:rsid w:val="001B201F"/>
    <w:rsid w:val="001B2037"/>
    <w:rsid w:val="001B215B"/>
    <w:rsid w:val="001B2506"/>
    <w:rsid w:val="001B252E"/>
    <w:rsid w:val="001B266B"/>
    <w:rsid w:val="001B281B"/>
    <w:rsid w:val="001B28DD"/>
    <w:rsid w:val="001B2AC7"/>
    <w:rsid w:val="001B2B20"/>
    <w:rsid w:val="001B2DEC"/>
    <w:rsid w:val="001B2E01"/>
    <w:rsid w:val="001B2EE0"/>
    <w:rsid w:val="001B2F2A"/>
    <w:rsid w:val="001B3109"/>
    <w:rsid w:val="001B3701"/>
    <w:rsid w:val="001B3850"/>
    <w:rsid w:val="001B3CF8"/>
    <w:rsid w:val="001B419F"/>
    <w:rsid w:val="001B4356"/>
    <w:rsid w:val="001B4554"/>
    <w:rsid w:val="001B4631"/>
    <w:rsid w:val="001B46A4"/>
    <w:rsid w:val="001B4ADC"/>
    <w:rsid w:val="001B4C93"/>
    <w:rsid w:val="001B4E75"/>
    <w:rsid w:val="001B51A0"/>
    <w:rsid w:val="001B5280"/>
    <w:rsid w:val="001B565A"/>
    <w:rsid w:val="001B5795"/>
    <w:rsid w:val="001B58E3"/>
    <w:rsid w:val="001B5CCC"/>
    <w:rsid w:val="001B5E97"/>
    <w:rsid w:val="001B5FED"/>
    <w:rsid w:val="001B60EC"/>
    <w:rsid w:val="001B626E"/>
    <w:rsid w:val="001B65FD"/>
    <w:rsid w:val="001B6950"/>
    <w:rsid w:val="001B69AC"/>
    <w:rsid w:val="001B6B02"/>
    <w:rsid w:val="001B6E9D"/>
    <w:rsid w:val="001B7198"/>
    <w:rsid w:val="001B7368"/>
    <w:rsid w:val="001B743E"/>
    <w:rsid w:val="001B7515"/>
    <w:rsid w:val="001B7757"/>
    <w:rsid w:val="001B7ABC"/>
    <w:rsid w:val="001B7BC7"/>
    <w:rsid w:val="001B7CE1"/>
    <w:rsid w:val="001B7DC3"/>
    <w:rsid w:val="001B7E1F"/>
    <w:rsid w:val="001C0374"/>
    <w:rsid w:val="001C0808"/>
    <w:rsid w:val="001C09AB"/>
    <w:rsid w:val="001C0B4F"/>
    <w:rsid w:val="001C0B8D"/>
    <w:rsid w:val="001C0EA8"/>
    <w:rsid w:val="001C10B4"/>
    <w:rsid w:val="001C1128"/>
    <w:rsid w:val="001C130C"/>
    <w:rsid w:val="001C159F"/>
    <w:rsid w:val="001C1658"/>
    <w:rsid w:val="001C1C14"/>
    <w:rsid w:val="001C1D83"/>
    <w:rsid w:val="001C1DB7"/>
    <w:rsid w:val="001C1DF7"/>
    <w:rsid w:val="001C2210"/>
    <w:rsid w:val="001C2315"/>
    <w:rsid w:val="001C2610"/>
    <w:rsid w:val="001C2810"/>
    <w:rsid w:val="001C281D"/>
    <w:rsid w:val="001C2872"/>
    <w:rsid w:val="001C28C8"/>
    <w:rsid w:val="001C2BD4"/>
    <w:rsid w:val="001C3041"/>
    <w:rsid w:val="001C30F6"/>
    <w:rsid w:val="001C321B"/>
    <w:rsid w:val="001C345E"/>
    <w:rsid w:val="001C3675"/>
    <w:rsid w:val="001C3697"/>
    <w:rsid w:val="001C376C"/>
    <w:rsid w:val="001C377B"/>
    <w:rsid w:val="001C3792"/>
    <w:rsid w:val="001C379B"/>
    <w:rsid w:val="001C384D"/>
    <w:rsid w:val="001C3952"/>
    <w:rsid w:val="001C3A68"/>
    <w:rsid w:val="001C4200"/>
    <w:rsid w:val="001C42A4"/>
    <w:rsid w:val="001C43E4"/>
    <w:rsid w:val="001C464A"/>
    <w:rsid w:val="001C488B"/>
    <w:rsid w:val="001C489F"/>
    <w:rsid w:val="001C48D9"/>
    <w:rsid w:val="001C4A0C"/>
    <w:rsid w:val="001C4A63"/>
    <w:rsid w:val="001C4D39"/>
    <w:rsid w:val="001C5294"/>
    <w:rsid w:val="001C5327"/>
    <w:rsid w:val="001C53E6"/>
    <w:rsid w:val="001C546D"/>
    <w:rsid w:val="001C54F3"/>
    <w:rsid w:val="001C55AD"/>
    <w:rsid w:val="001C5ED7"/>
    <w:rsid w:val="001C65A0"/>
    <w:rsid w:val="001C680F"/>
    <w:rsid w:val="001C68E2"/>
    <w:rsid w:val="001C6AA2"/>
    <w:rsid w:val="001C6AAC"/>
    <w:rsid w:val="001C6BC0"/>
    <w:rsid w:val="001C6F94"/>
    <w:rsid w:val="001C7052"/>
    <w:rsid w:val="001C70C2"/>
    <w:rsid w:val="001C74CF"/>
    <w:rsid w:val="001C77C0"/>
    <w:rsid w:val="001C77F3"/>
    <w:rsid w:val="001C7F5E"/>
    <w:rsid w:val="001D007B"/>
    <w:rsid w:val="001D00AE"/>
    <w:rsid w:val="001D0220"/>
    <w:rsid w:val="001D0605"/>
    <w:rsid w:val="001D06A4"/>
    <w:rsid w:val="001D0ADB"/>
    <w:rsid w:val="001D0C96"/>
    <w:rsid w:val="001D0FC3"/>
    <w:rsid w:val="001D0FCC"/>
    <w:rsid w:val="001D1054"/>
    <w:rsid w:val="001D1282"/>
    <w:rsid w:val="001D1544"/>
    <w:rsid w:val="001D15E4"/>
    <w:rsid w:val="001D1713"/>
    <w:rsid w:val="001D17BF"/>
    <w:rsid w:val="001D1858"/>
    <w:rsid w:val="001D1A44"/>
    <w:rsid w:val="001D2188"/>
    <w:rsid w:val="001D2249"/>
    <w:rsid w:val="001D225B"/>
    <w:rsid w:val="001D25BC"/>
    <w:rsid w:val="001D26D6"/>
    <w:rsid w:val="001D2752"/>
    <w:rsid w:val="001D294F"/>
    <w:rsid w:val="001D29A6"/>
    <w:rsid w:val="001D2B95"/>
    <w:rsid w:val="001D2D14"/>
    <w:rsid w:val="001D2DB1"/>
    <w:rsid w:val="001D2F0F"/>
    <w:rsid w:val="001D30E6"/>
    <w:rsid w:val="001D3204"/>
    <w:rsid w:val="001D3486"/>
    <w:rsid w:val="001D3780"/>
    <w:rsid w:val="001D38F1"/>
    <w:rsid w:val="001D3952"/>
    <w:rsid w:val="001D3A66"/>
    <w:rsid w:val="001D3B1F"/>
    <w:rsid w:val="001D3B52"/>
    <w:rsid w:val="001D3C96"/>
    <w:rsid w:val="001D3CA6"/>
    <w:rsid w:val="001D3D43"/>
    <w:rsid w:val="001D3E40"/>
    <w:rsid w:val="001D3EAC"/>
    <w:rsid w:val="001D436A"/>
    <w:rsid w:val="001D4595"/>
    <w:rsid w:val="001D4D61"/>
    <w:rsid w:val="001D4E9A"/>
    <w:rsid w:val="001D4F3A"/>
    <w:rsid w:val="001D5050"/>
    <w:rsid w:val="001D52A2"/>
    <w:rsid w:val="001D5372"/>
    <w:rsid w:val="001D541F"/>
    <w:rsid w:val="001D5525"/>
    <w:rsid w:val="001D589B"/>
    <w:rsid w:val="001D5A7F"/>
    <w:rsid w:val="001D5B39"/>
    <w:rsid w:val="001D5B49"/>
    <w:rsid w:val="001D5F5C"/>
    <w:rsid w:val="001D64C3"/>
    <w:rsid w:val="001D64EE"/>
    <w:rsid w:val="001D6723"/>
    <w:rsid w:val="001D682C"/>
    <w:rsid w:val="001D6892"/>
    <w:rsid w:val="001D6ADF"/>
    <w:rsid w:val="001D6B8B"/>
    <w:rsid w:val="001D6D0D"/>
    <w:rsid w:val="001D70BC"/>
    <w:rsid w:val="001D70C4"/>
    <w:rsid w:val="001D7321"/>
    <w:rsid w:val="001D73AF"/>
    <w:rsid w:val="001D7561"/>
    <w:rsid w:val="001D7778"/>
    <w:rsid w:val="001D7B21"/>
    <w:rsid w:val="001D7B73"/>
    <w:rsid w:val="001D7F4B"/>
    <w:rsid w:val="001E0013"/>
    <w:rsid w:val="001E0052"/>
    <w:rsid w:val="001E02CA"/>
    <w:rsid w:val="001E040F"/>
    <w:rsid w:val="001E0770"/>
    <w:rsid w:val="001E08B3"/>
    <w:rsid w:val="001E08CE"/>
    <w:rsid w:val="001E0977"/>
    <w:rsid w:val="001E09EE"/>
    <w:rsid w:val="001E0AA9"/>
    <w:rsid w:val="001E0D15"/>
    <w:rsid w:val="001E0E0C"/>
    <w:rsid w:val="001E106A"/>
    <w:rsid w:val="001E1307"/>
    <w:rsid w:val="001E16CF"/>
    <w:rsid w:val="001E1760"/>
    <w:rsid w:val="001E1C17"/>
    <w:rsid w:val="001E1E3E"/>
    <w:rsid w:val="001E2176"/>
    <w:rsid w:val="001E258E"/>
    <w:rsid w:val="001E2A70"/>
    <w:rsid w:val="001E2BF4"/>
    <w:rsid w:val="001E2C09"/>
    <w:rsid w:val="001E2D40"/>
    <w:rsid w:val="001E2E38"/>
    <w:rsid w:val="001E2F1E"/>
    <w:rsid w:val="001E3809"/>
    <w:rsid w:val="001E38FD"/>
    <w:rsid w:val="001E3B6E"/>
    <w:rsid w:val="001E3BA8"/>
    <w:rsid w:val="001E3C3E"/>
    <w:rsid w:val="001E3CE6"/>
    <w:rsid w:val="001E3E27"/>
    <w:rsid w:val="001E3EC1"/>
    <w:rsid w:val="001E43AD"/>
    <w:rsid w:val="001E4459"/>
    <w:rsid w:val="001E47AD"/>
    <w:rsid w:val="001E4852"/>
    <w:rsid w:val="001E4AED"/>
    <w:rsid w:val="001E4B36"/>
    <w:rsid w:val="001E4C8F"/>
    <w:rsid w:val="001E4ED7"/>
    <w:rsid w:val="001E5150"/>
    <w:rsid w:val="001E52D9"/>
    <w:rsid w:val="001E544A"/>
    <w:rsid w:val="001E568B"/>
    <w:rsid w:val="001E56F0"/>
    <w:rsid w:val="001E5866"/>
    <w:rsid w:val="001E5985"/>
    <w:rsid w:val="001E5A71"/>
    <w:rsid w:val="001E5A85"/>
    <w:rsid w:val="001E5C44"/>
    <w:rsid w:val="001E60A5"/>
    <w:rsid w:val="001E6601"/>
    <w:rsid w:val="001E686A"/>
    <w:rsid w:val="001E6962"/>
    <w:rsid w:val="001E6C8D"/>
    <w:rsid w:val="001E6CBB"/>
    <w:rsid w:val="001E6DFF"/>
    <w:rsid w:val="001E7122"/>
    <w:rsid w:val="001E715F"/>
    <w:rsid w:val="001E73BF"/>
    <w:rsid w:val="001E7412"/>
    <w:rsid w:val="001E7B4C"/>
    <w:rsid w:val="001E7B61"/>
    <w:rsid w:val="001E7DCB"/>
    <w:rsid w:val="001E7E47"/>
    <w:rsid w:val="001F0179"/>
    <w:rsid w:val="001F0327"/>
    <w:rsid w:val="001F035F"/>
    <w:rsid w:val="001F0C09"/>
    <w:rsid w:val="001F0F9D"/>
    <w:rsid w:val="001F158D"/>
    <w:rsid w:val="001F160C"/>
    <w:rsid w:val="001F17E8"/>
    <w:rsid w:val="001F1C13"/>
    <w:rsid w:val="001F1C66"/>
    <w:rsid w:val="001F1C71"/>
    <w:rsid w:val="001F1CE0"/>
    <w:rsid w:val="001F1DF5"/>
    <w:rsid w:val="001F1F9B"/>
    <w:rsid w:val="001F24DD"/>
    <w:rsid w:val="001F277B"/>
    <w:rsid w:val="001F27A6"/>
    <w:rsid w:val="001F2861"/>
    <w:rsid w:val="001F2A03"/>
    <w:rsid w:val="001F2B32"/>
    <w:rsid w:val="001F2BFC"/>
    <w:rsid w:val="001F2C98"/>
    <w:rsid w:val="001F2FED"/>
    <w:rsid w:val="001F3139"/>
    <w:rsid w:val="001F3193"/>
    <w:rsid w:val="001F33AA"/>
    <w:rsid w:val="001F370B"/>
    <w:rsid w:val="001F38A8"/>
    <w:rsid w:val="001F38F4"/>
    <w:rsid w:val="001F3A39"/>
    <w:rsid w:val="001F3C87"/>
    <w:rsid w:val="001F443D"/>
    <w:rsid w:val="001F47E7"/>
    <w:rsid w:val="001F4A93"/>
    <w:rsid w:val="001F4AC0"/>
    <w:rsid w:val="001F4C62"/>
    <w:rsid w:val="001F4CF0"/>
    <w:rsid w:val="001F4D5A"/>
    <w:rsid w:val="001F52B6"/>
    <w:rsid w:val="001F5333"/>
    <w:rsid w:val="001F5517"/>
    <w:rsid w:val="001F5660"/>
    <w:rsid w:val="001F58D3"/>
    <w:rsid w:val="001F599D"/>
    <w:rsid w:val="001F59D3"/>
    <w:rsid w:val="001F5A73"/>
    <w:rsid w:val="001F627F"/>
    <w:rsid w:val="001F6528"/>
    <w:rsid w:val="001F6671"/>
    <w:rsid w:val="001F674C"/>
    <w:rsid w:val="001F6AE3"/>
    <w:rsid w:val="001F6B57"/>
    <w:rsid w:val="001F6CF9"/>
    <w:rsid w:val="001F6D69"/>
    <w:rsid w:val="001F70BC"/>
    <w:rsid w:val="001F74FA"/>
    <w:rsid w:val="001F75B0"/>
    <w:rsid w:val="001F7628"/>
    <w:rsid w:val="001F7B5C"/>
    <w:rsid w:val="001F7EDC"/>
    <w:rsid w:val="00200096"/>
    <w:rsid w:val="002000D4"/>
    <w:rsid w:val="00200295"/>
    <w:rsid w:val="00200BF6"/>
    <w:rsid w:val="00200C3C"/>
    <w:rsid w:val="00200C95"/>
    <w:rsid w:val="00200CB1"/>
    <w:rsid w:val="0020109D"/>
    <w:rsid w:val="002015A4"/>
    <w:rsid w:val="00201B62"/>
    <w:rsid w:val="002020EE"/>
    <w:rsid w:val="002021D3"/>
    <w:rsid w:val="00202237"/>
    <w:rsid w:val="00202774"/>
    <w:rsid w:val="002029B2"/>
    <w:rsid w:val="00202D2D"/>
    <w:rsid w:val="00202E8F"/>
    <w:rsid w:val="00202EDB"/>
    <w:rsid w:val="00203045"/>
    <w:rsid w:val="002031F8"/>
    <w:rsid w:val="002033CC"/>
    <w:rsid w:val="00203402"/>
    <w:rsid w:val="00203497"/>
    <w:rsid w:val="00203A3E"/>
    <w:rsid w:val="00203AAA"/>
    <w:rsid w:val="00203FF4"/>
    <w:rsid w:val="00204057"/>
    <w:rsid w:val="00204144"/>
    <w:rsid w:val="00204317"/>
    <w:rsid w:val="00204477"/>
    <w:rsid w:val="00204526"/>
    <w:rsid w:val="00204596"/>
    <w:rsid w:val="0020474C"/>
    <w:rsid w:val="0020475C"/>
    <w:rsid w:val="002048DB"/>
    <w:rsid w:val="002049D1"/>
    <w:rsid w:val="00205377"/>
    <w:rsid w:val="002053D8"/>
    <w:rsid w:val="0020588F"/>
    <w:rsid w:val="00206671"/>
    <w:rsid w:val="00206A69"/>
    <w:rsid w:val="00206CE0"/>
    <w:rsid w:val="002070D7"/>
    <w:rsid w:val="00207571"/>
    <w:rsid w:val="00207695"/>
    <w:rsid w:val="002076B7"/>
    <w:rsid w:val="002078A5"/>
    <w:rsid w:val="00207EBA"/>
    <w:rsid w:val="00207ED1"/>
    <w:rsid w:val="00207EDF"/>
    <w:rsid w:val="00207F27"/>
    <w:rsid w:val="002104ED"/>
    <w:rsid w:val="00210823"/>
    <w:rsid w:val="00210BB3"/>
    <w:rsid w:val="00210D2A"/>
    <w:rsid w:val="00210E8C"/>
    <w:rsid w:val="00210FE1"/>
    <w:rsid w:val="002116D7"/>
    <w:rsid w:val="00211814"/>
    <w:rsid w:val="00211AD3"/>
    <w:rsid w:val="00211E1F"/>
    <w:rsid w:val="002120A9"/>
    <w:rsid w:val="002121C0"/>
    <w:rsid w:val="00212711"/>
    <w:rsid w:val="0021276F"/>
    <w:rsid w:val="002127A2"/>
    <w:rsid w:val="002127AD"/>
    <w:rsid w:val="002127C6"/>
    <w:rsid w:val="002128A0"/>
    <w:rsid w:val="002129FF"/>
    <w:rsid w:val="00212C41"/>
    <w:rsid w:val="00212CD0"/>
    <w:rsid w:val="00212EF8"/>
    <w:rsid w:val="002135D6"/>
    <w:rsid w:val="00213770"/>
    <w:rsid w:val="002138C0"/>
    <w:rsid w:val="00213A81"/>
    <w:rsid w:val="00213B6F"/>
    <w:rsid w:val="00213BEC"/>
    <w:rsid w:val="00213E4C"/>
    <w:rsid w:val="00213E64"/>
    <w:rsid w:val="0021445E"/>
    <w:rsid w:val="00214466"/>
    <w:rsid w:val="002147ED"/>
    <w:rsid w:val="00214930"/>
    <w:rsid w:val="00214972"/>
    <w:rsid w:val="002149AD"/>
    <w:rsid w:val="00214B9C"/>
    <w:rsid w:val="00215203"/>
    <w:rsid w:val="002155AC"/>
    <w:rsid w:val="002159CC"/>
    <w:rsid w:val="00215C72"/>
    <w:rsid w:val="00215D4B"/>
    <w:rsid w:val="00215E02"/>
    <w:rsid w:val="00215E69"/>
    <w:rsid w:val="00215FA7"/>
    <w:rsid w:val="002164B2"/>
    <w:rsid w:val="002164F3"/>
    <w:rsid w:val="0021661C"/>
    <w:rsid w:val="002166AE"/>
    <w:rsid w:val="00216746"/>
    <w:rsid w:val="00216822"/>
    <w:rsid w:val="00216981"/>
    <w:rsid w:val="00216A21"/>
    <w:rsid w:val="00216D21"/>
    <w:rsid w:val="00216F5F"/>
    <w:rsid w:val="002171F1"/>
    <w:rsid w:val="00217486"/>
    <w:rsid w:val="00217777"/>
    <w:rsid w:val="00217BC5"/>
    <w:rsid w:val="00217CEC"/>
    <w:rsid w:val="00217D1D"/>
    <w:rsid w:val="00217E88"/>
    <w:rsid w:val="00217FEB"/>
    <w:rsid w:val="00220194"/>
    <w:rsid w:val="002201DF"/>
    <w:rsid w:val="0022022C"/>
    <w:rsid w:val="0022026E"/>
    <w:rsid w:val="0022041E"/>
    <w:rsid w:val="00220877"/>
    <w:rsid w:val="002208CF"/>
    <w:rsid w:val="00220A0F"/>
    <w:rsid w:val="00220A85"/>
    <w:rsid w:val="00220F4D"/>
    <w:rsid w:val="00221329"/>
    <w:rsid w:val="00221963"/>
    <w:rsid w:val="002219F4"/>
    <w:rsid w:val="00221C15"/>
    <w:rsid w:val="00221FD1"/>
    <w:rsid w:val="0022219C"/>
    <w:rsid w:val="002221D6"/>
    <w:rsid w:val="00222273"/>
    <w:rsid w:val="0022246E"/>
    <w:rsid w:val="00222680"/>
    <w:rsid w:val="002227D3"/>
    <w:rsid w:val="00222915"/>
    <w:rsid w:val="002229E5"/>
    <w:rsid w:val="00222B01"/>
    <w:rsid w:val="00222D9C"/>
    <w:rsid w:val="0022328F"/>
    <w:rsid w:val="002233E7"/>
    <w:rsid w:val="0022390B"/>
    <w:rsid w:val="00223A35"/>
    <w:rsid w:val="00223C3B"/>
    <w:rsid w:val="00223ECB"/>
    <w:rsid w:val="00223F49"/>
    <w:rsid w:val="00224098"/>
    <w:rsid w:val="00224203"/>
    <w:rsid w:val="0022439F"/>
    <w:rsid w:val="002243C1"/>
    <w:rsid w:val="00224453"/>
    <w:rsid w:val="00224596"/>
    <w:rsid w:val="00224855"/>
    <w:rsid w:val="00224A5A"/>
    <w:rsid w:val="00224CFB"/>
    <w:rsid w:val="00224D55"/>
    <w:rsid w:val="00225463"/>
    <w:rsid w:val="00225C68"/>
    <w:rsid w:val="00225E8D"/>
    <w:rsid w:val="00226243"/>
    <w:rsid w:val="002265F0"/>
    <w:rsid w:val="002269A8"/>
    <w:rsid w:val="00226B41"/>
    <w:rsid w:val="00226B59"/>
    <w:rsid w:val="00226BA9"/>
    <w:rsid w:val="00226E21"/>
    <w:rsid w:val="00226E83"/>
    <w:rsid w:val="00226E96"/>
    <w:rsid w:val="0022714D"/>
    <w:rsid w:val="002271F9"/>
    <w:rsid w:val="00227492"/>
    <w:rsid w:val="002276B8"/>
    <w:rsid w:val="0022773D"/>
    <w:rsid w:val="0022779D"/>
    <w:rsid w:val="002278EA"/>
    <w:rsid w:val="00227900"/>
    <w:rsid w:val="00227917"/>
    <w:rsid w:val="00227BDC"/>
    <w:rsid w:val="0023022E"/>
    <w:rsid w:val="00230297"/>
    <w:rsid w:val="0023055F"/>
    <w:rsid w:val="002310A0"/>
    <w:rsid w:val="0023138C"/>
    <w:rsid w:val="002313EC"/>
    <w:rsid w:val="00231413"/>
    <w:rsid w:val="00231661"/>
    <w:rsid w:val="00231950"/>
    <w:rsid w:val="00231CB0"/>
    <w:rsid w:val="00231E19"/>
    <w:rsid w:val="00231E1E"/>
    <w:rsid w:val="00231E6B"/>
    <w:rsid w:val="00232014"/>
    <w:rsid w:val="0023201A"/>
    <w:rsid w:val="002322C9"/>
    <w:rsid w:val="00232355"/>
    <w:rsid w:val="002324BB"/>
    <w:rsid w:val="00232ACF"/>
    <w:rsid w:val="00232D09"/>
    <w:rsid w:val="00232F0C"/>
    <w:rsid w:val="00233093"/>
    <w:rsid w:val="002330E5"/>
    <w:rsid w:val="00233582"/>
    <w:rsid w:val="002335C7"/>
    <w:rsid w:val="002337F1"/>
    <w:rsid w:val="002338FF"/>
    <w:rsid w:val="00233C29"/>
    <w:rsid w:val="00233DA9"/>
    <w:rsid w:val="002340DD"/>
    <w:rsid w:val="00234257"/>
    <w:rsid w:val="00234960"/>
    <w:rsid w:val="00234BFC"/>
    <w:rsid w:val="00234C51"/>
    <w:rsid w:val="00234CA8"/>
    <w:rsid w:val="00234E3D"/>
    <w:rsid w:val="00234E86"/>
    <w:rsid w:val="002351E6"/>
    <w:rsid w:val="0023525F"/>
    <w:rsid w:val="00235360"/>
    <w:rsid w:val="002355B6"/>
    <w:rsid w:val="0023574A"/>
    <w:rsid w:val="0023580A"/>
    <w:rsid w:val="00235AB3"/>
    <w:rsid w:val="00235BED"/>
    <w:rsid w:val="00235DDE"/>
    <w:rsid w:val="00235DF1"/>
    <w:rsid w:val="0023616D"/>
    <w:rsid w:val="002363D9"/>
    <w:rsid w:val="0023658A"/>
    <w:rsid w:val="00236A76"/>
    <w:rsid w:val="00237308"/>
    <w:rsid w:val="0023733E"/>
    <w:rsid w:val="00237692"/>
    <w:rsid w:val="00237743"/>
    <w:rsid w:val="00237757"/>
    <w:rsid w:val="00237931"/>
    <w:rsid w:val="00237CBE"/>
    <w:rsid w:val="00237D63"/>
    <w:rsid w:val="00237D93"/>
    <w:rsid w:val="002400C6"/>
    <w:rsid w:val="0024019F"/>
    <w:rsid w:val="00240380"/>
    <w:rsid w:val="00240537"/>
    <w:rsid w:val="0024066F"/>
    <w:rsid w:val="002406D2"/>
    <w:rsid w:val="002407C6"/>
    <w:rsid w:val="002408CA"/>
    <w:rsid w:val="00240A0F"/>
    <w:rsid w:val="00240AE7"/>
    <w:rsid w:val="00241686"/>
    <w:rsid w:val="00241E78"/>
    <w:rsid w:val="0024201C"/>
    <w:rsid w:val="0024212E"/>
    <w:rsid w:val="002425D7"/>
    <w:rsid w:val="002427B5"/>
    <w:rsid w:val="0024281E"/>
    <w:rsid w:val="0024289C"/>
    <w:rsid w:val="00242D25"/>
    <w:rsid w:val="00242F72"/>
    <w:rsid w:val="00243546"/>
    <w:rsid w:val="002435A9"/>
    <w:rsid w:val="0024365C"/>
    <w:rsid w:val="00243734"/>
    <w:rsid w:val="00243E0D"/>
    <w:rsid w:val="00243E35"/>
    <w:rsid w:val="002441CB"/>
    <w:rsid w:val="002441FE"/>
    <w:rsid w:val="00244366"/>
    <w:rsid w:val="002444F4"/>
    <w:rsid w:val="0024472B"/>
    <w:rsid w:val="0024487C"/>
    <w:rsid w:val="00244887"/>
    <w:rsid w:val="002448A8"/>
    <w:rsid w:val="002451F2"/>
    <w:rsid w:val="0024528B"/>
    <w:rsid w:val="002452DF"/>
    <w:rsid w:val="00245317"/>
    <w:rsid w:val="002453BF"/>
    <w:rsid w:val="002453CE"/>
    <w:rsid w:val="0024542F"/>
    <w:rsid w:val="002455AE"/>
    <w:rsid w:val="002456EF"/>
    <w:rsid w:val="00245926"/>
    <w:rsid w:val="00245961"/>
    <w:rsid w:val="002459DA"/>
    <w:rsid w:val="00245A77"/>
    <w:rsid w:val="00245BD1"/>
    <w:rsid w:val="00245C78"/>
    <w:rsid w:val="00246597"/>
    <w:rsid w:val="002466AC"/>
    <w:rsid w:val="002466CE"/>
    <w:rsid w:val="00246955"/>
    <w:rsid w:val="00246A29"/>
    <w:rsid w:val="00246B78"/>
    <w:rsid w:val="00246D32"/>
    <w:rsid w:val="00246EB5"/>
    <w:rsid w:val="00246ECA"/>
    <w:rsid w:val="00246FB9"/>
    <w:rsid w:val="0024701E"/>
    <w:rsid w:val="00247357"/>
    <w:rsid w:val="0024754F"/>
    <w:rsid w:val="002477DC"/>
    <w:rsid w:val="00247819"/>
    <w:rsid w:val="0024784B"/>
    <w:rsid w:val="0024787F"/>
    <w:rsid w:val="00247B1E"/>
    <w:rsid w:val="00247D89"/>
    <w:rsid w:val="00247F85"/>
    <w:rsid w:val="00247FB2"/>
    <w:rsid w:val="00247FD7"/>
    <w:rsid w:val="0025008C"/>
    <w:rsid w:val="002503CF"/>
    <w:rsid w:val="00250522"/>
    <w:rsid w:val="00250910"/>
    <w:rsid w:val="00250AEF"/>
    <w:rsid w:val="00250C9E"/>
    <w:rsid w:val="00250F50"/>
    <w:rsid w:val="002511F8"/>
    <w:rsid w:val="002517C2"/>
    <w:rsid w:val="00251934"/>
    <w:rsid w:val="0025195E"/>
    <w:rsid w:val="00251A7D"/>
    <w:rsid w:val="00251CCD"/>
    <w:rsid w:val="00251D8E"/>
    <w:rsid w:val="00251DDD"/>
    <w:rsid w:val="00251E1E"/>
    <w:rsid w:val="00251E65"/>
    <w:rsid w:val="00251FA2"/>
    <w:rsid w:val="00252B16"/>
    <w:rsid w:val="00252D1B"/>
    <w:rsid w:val="00252D2C"/>
    <w:rsid w:val="00252F36"/>
    <w:rsid w:val="002532DC"/>
    <w:rsid w:val="00253392"/>
    <w:rsid w:val="002536F4"/>
    <w:rsid w:val="002537DF"/>
    <w:rsid w:val="00253857"/>
    <w:rsid w:val="00253B0C"/>
    <w:rsid w:val="00253CBD"/>
    <w:rsid w:val="00253D70"/>
    <w:rsid w:val="00254296"/>
    <w:rsid w:val="00254309"/>
    <w:rsid w:val="0025436C"/>
    <w:rsid w:val="00254684"/>
    <w:rsid w:val="0025475B"/>
    <w:rsid w:val="0025493D"/>
    <w:rsid w:val="00254A85"/>
    <w:rsid w:val="00254B1B"/>
    <w:rsid w:val="00254B65"/>
    <w:rsid w:val="00254E94"/>
    <w:rsid w:val="00254ECE"/>
    <w:rsid w:val="00254F86"/>
    <w:rsid w:val="00254FA2"/>
    <w:rsid w:val="002556B8"/>
    <w:rsid w:val="002556C7"/>
    <w:rsid w:val="00255769"/>
    <w:rsid w:val="00255C5C"/>
    <w:rsid w:val="00255ECD"/>
    <w:rsid w:val="00255F53"/>
    <w:rsid w:val="00255F64"/>
    <w:rsid w:val="0025603B"/>
    <w:rsid w:val="002562E2"/>
    <w:rsid w:val="002563F6"/>
    <w:rsid w:val="00256611"/>
    <w:rsid w:val="0025669D"/>
    <w:rsid w:val="00256802"/>
    <w:rsid w:val="00256828"/>
    <w:rsid w:val="00256A63"/>
    <w:rsid w:val="00256C8A"/>
    <w:rsid w:val="00256C8C"/>
    <w:rsid w:val="002572FF"/>
    <w:rsid w:val="00257708"/>
    <w:rsid w:val="002577BD"/>
    <w:rsid w:val="00257928"/>
    <w:rsid w:val="00257AD3"/>
    <w:rsid w:val="00257B60"/>
    <w:rsid w:val="00260496"/>
    <w:rsid w:val="0026081F"/>
    <w:rsid w:val="0026113D"/>
    <w:rsid w:val="0026125A"/>
    <w:rsid w:val="00261D4C"/>
    <w:rsid w:val="00261E11"/>
    <w:rsid w:val="0026242E"/>
    <w:rsid w:val="00262670"/>
    <w:rsid w:val="00262BBF"/>
    <w:rsid w:val="00262DAA"/>
    <w:rsid w:val="00262E0E"/>
    <w:rsid w:val="00262EA8"/>
    <w:rsid w:val="00263154"/>
    <w:rsid w:val="0026352A"/>
    <w:rsid w:val="00263541"/>
    <w:rsid w:val="00263B9A"/>
    <w:rsid w:val="00263BE0"/>
    <w:rsid w:val="00263D63"/>
    <w:rsid w:val="0026401B"/>
    <w:rsid w:val="00264028"/>
    <w:rsid w:val="00264310"/>
    <w:rsid w:val="00264425"/>
    <w:rsid w:val="00264438"/>
    <w:rsid w:val="00264575"/>
    <w:rsid w:val="002645A8"/>
    <w:rsid w:val="0026465B"/>
    <w:rsid w:val="00264801"/>
    <w:rsid w:val="002649F2"/>
    <w:rsid w:val="00264C6C"/>
    <w:rsid w:val="00264FB9"/>
    <w:rsid w:val="0026501A"/>
    <w:rsid w:val="00265149"/>
    <w:rsid w:val="002651AA"/>
    <w:rsid w:val="002651DE"/>
    <w:rsid w:val="002653C7"/>
    <w:rsid w:val="002653EF"/>
    <w:rsid w:val="0026559F"/>
    <w:rsid w:val="002656DA"/>
    <w:rsid w:val="00265AB1"/>
    <w:rsid w:val="00265BBE"/>
    <w:rsid w:val="00265D4A"/>
    <w:rsid w:val="00266010"/>
    <w:rsid w:val="002660B7"/>
    <w:rsid w:val="00266169"/>
    <w:rsid w:val="00266707"/>
    <w:rsid w:val="00266A43"/>
    <w:rsid w:val="00266EE8"/>
    <w:rsid w:val="00266F49"/>
    <w:rsid w:val="00266FD4"/>
    <w:rsid w:val="00267064"/>
    <w:rsid w:val="0026784C"/>
    <w:rsid w:val="00267882"/>
    <w:rsid w:val="00267904"/>
    <w:rsid w:val="002679B3"/>
    <w:rsid w:val="002679E6"/>
    <w:rsid w:val="00267E4A"/>
    <w:rsid w:val="00270083"/>
    <w:rsid w:val="00270194"/>
    <w:rsid w:val="002701A9"/>
    <w:rsid w:val="0027020C"/>
    <w:rsid w:val="002704E2"/>
    <w:rsid w:val="002705E4"/>
    <w:rsid w:val="002709DC"/>
    <w:rsid w:val="00270B2F"/>
    <w:rsid w:val="00270B67"/>
    <w:rsid w:val="00270FCA"/>
    <w:rsid w:val="00270FDC"/>
    <w:rsid w:val="00271038"/>
    <w:rsid w:val="0027159B"/>
    <w:rsid w:val="002715E0"/>
    <w:rsid w:val="002717A1"/>
    <w:rsid w:val="0027190D"/>
    <w:rsid w:val="00271A19"/>
    <w:rsid w:val="00271D1E"/>
    <w:rsid w:val="00271D62"/>
    <w:rsid w:val="00271FF6"/>
    <w:rsid w:val="002722CE"/>
    <w:rsid w:val="00272429"/>
    <w:rsid w:val="00272883"/>
    <w:rsid w:val="002729A0"/>
    <w:rsid w:val="00272E74"/>
    <w:rsid w:val="00273222"/>
    <w:rsid w:val="0027375D"/>
    <w:rsid w:val="00273806"/>
    <w:rsid w:val="00273AC1"/>
    <w:rsid w:val="00273C7A"/>
    <w:rsid w:val="00273CA6"/>
    <w:rsid w:val="00273FE4"/>
    <w:rsid w:val="002740CD"/>
    <w:rsid w:val="00274314"/>
    <w:rsid w:val="00274461"/>
    <w:rsid w:val="002744FB"/>
    <w:rsid w:val="00274877"/>
    <w:rsid w:val="00274A44"/>
    <w:rsid w:val="00274BA2"/>
    <w:rsid w:val="00274E98"/>
    <w:rsid w:val="002751D3"/>
    <w:rsid w:val="002757A3"/>
    <w:rsid w:val="00275DC0"/>
    <w:rsid w:val="00275DCA"/>
    <w:rsid w:val="00275EAE"/>
    <w:rsid w:val="00275EDB"/>
    <w:rsid w:val="00275EF8"/>
    <w:rsid w:val="00276069"/>
    <w:rsid w:val="002763B8"/>
    <w:rsid w:val="00276423"/>
    <w:rsid w:val="002765C4"/>
    <w:rsid w:val="002767D1"/>
    <w:rsid w:val="002769A7"/>
    <w:rsid w:val="00276BC4"/>
    <w:rsid w:val="00276D9B"/>
    <w:rsid w:val="00276DDA"/>
    <w:rsid w:val="00276DDD"/>
    <w:rsid w:val="00277056"/>
    <w:rsid w:val="002770F8"/>
    <w:rsid w:val="0027713E"/>
    <w:rsid w:val="002772CD"/>
    <w:rsid w:val="00277433"/>
    <w:rsid w:val="00277591"/>
    <w:rsid w:val="002777B6"/>
    <w:rsid w:val="00277B01"/>
    <w:rsid w:val="00277B20"/>
    <w:rsid w:val="00277C5A"/>
    <w:rsid w:val="00277DFA"/>
    <w:rsid w:val="00277F7A"/>
    <w:rsid w:val="00280573"/>
    <w:rsid w:val="002809F1"/>
    <w:rsid w:val="002813EC"/>
    <w:rsid w:val="00281403"/>
    <w:rsid w:val="002814A2"/>
    <w:rsid w:val="00281958"/>
    <w:rsid w:val="00281DD5"/>
    <w:rsid w:val="00281EB2"/>
    <w:rsid w:val="00281EED"/>
    <w:rsid w:val="00282446"/>
    <w:rsid w:val="002824A0"/>
    <w:rsid w:val="0028273A"/>
    <w:rsid w:val="00282AAC"/>
    <w:rsid w:val="00282F8B"/>
    <w:rsid w:val="00282F91"/>
    <w:rsid w:val="00282FDC"/>
    <w:rsid w:val="00283084"/>
    <w:rsid w:val="0028328C"/>
    <w:rsid w:val="002833B2"/>
    <w:rsid w:val="00283435"/>
    <w:rsid w:val="002836FF"/>
    <w:rsid w:val="00283CCD"/>
    <w:rsid w:val="00283D07"/>
    <w:rsid w:val="00283E41"/>
    <w:rsid w:val="00283EDB"/>
    <w:rsid w:val="0028403B"/>
    <w:rsid w:val="00284098"/>
    <w:rsid w:val="002841E2"/>
    <w:rsid w:val="002843CB"/>
    <w:rsid w:val="00284407"/>
    <w:rsid w:val="002844F5"/>
    <w:rsid w:val="00284530"/>
    <w:rsid w:val="00284586"/>
    <w:rsid w:val="002845FF"/>
    <w:rsid w:val="002846B8"/>
    <w:rsid w:val="00284815"/>
    <w:rsid w:val="00284A2F"/>
    <w:rsid w:val="00284EB9"/>
    <w:rsid w:val="002853A1"/>
    <w:rsid w:val="002854A8"/>
    <w:rsid w:val="002854E2"/>
    <w:rsid w:val="0028553B"/>
    <w:rsid w:val="002855B5"/>
    <w:rsid w:val="002856D7"/>
    <w:rsid w:val="00285801"/>
    <w:rsid w:val="002858AD"/>
    <w:rsid w:val="00285BC8"/>
    <w:rsid w:val="00285CBC"/>
    <w:rsid w:val="00285D82"/>
    <w:rsid w:val="00286120"/>
    <w:rsid w:val="00286519"/>
    <w:rsid w:val="0028662B"/>
    <w:rsid w:val="00286AD7"/>
    <w:rsid w:val="00286D18"/>
    <w:rsid w:val="00287573"/>
    <w:rsid w:val="0028760C"/>
    <w:rsid w:val="00287A49"/>
    <w:rsid w:val="00287B67"/>
    <w:rsid w:val="00287B72"/>
    <w:rsid w:val="0029001D"/>
    <w:rsid w:val="0029005F"/>
    <w:rsid w:val="00290062"/>
    <w:rsid w:val="00290364"/>
    <w:rsid w:val="002903E2"/>
    <w:rsid w:val="002904E3"/>
    <w:rsid w:val="00290591"/>
    <w:rsid w:val="002905E9"/>
    <w:rsid w:val="002905FC"/>
    <w:rsid w:val="00290622"/>
    <w:rsid w:val="002908D8"/>
    <w:rsid w:val="00290B4C"/>
    <w:rsid w:val="00290CC0"/>
    <w:rsid w:val="00290D26"/>
    <w:rsid w:val="00290D59"/>
    <w:rsid w:val="00290F3B"/>
    <w:rsid w:val="00290FF9"/>
    <w:rsid w:val="00291290"/>
    <w:rsid w:val="002914BA"/>
    <w:rsid w:val="002918AB"/>
    <w:rsid w:val="00291A7A"/>
    <w:rsid w:val="00291C65"/>
    <w:rsid w:val="00291DFF"/>
    <w:rsid w:val="00291EDD"/>
    <w:rsid w:val="00292084"/>
    <w:rsid w:val="002921CA"/>
    <w:rsid w:val="002927D0"/>
    <w:rsid w:val="0029284B"/>
    <w:rsid w:val="002928AC"/>
    <w:rsid w:val="002929B3"/>
    <w:rsid w:val="00292C95"/>
    <w:rsid w:val="00292E73"/>
    <w:rsid w:val="00292FCC"/>
    <w:rsid w:val="00293362"/>
    <w:rsid w:val="00293663"/>
    <w:rsid w:val="002936CE"/>
    <w:rsid w:val="002936DC"/>
    <w:rsid w:val="00293A2C"/>
    <w:rsid w:val="00293C6B"/>
    <w:rsid w:val="00293DDE"/>
    <w:rsid w:val="00293F95"/>
    <w:rsid w:val="00294173"/>
    <w:rsid w:val="00294705"/>
    <w:rsid w:val="00294755"/>
    <w:rsid w:val="00294857"/>
    <w:rsid w:val="00294C8F"/>
    <w:rsid w:val="00294C95"/>
    <w:rsid w:val="00294D7D"/>
    <w:rsid w:val="00294E34"/>
    <w:rsid w:val="00294E68"/>
    <w:rsid w:val="00294EB1"/>
    <w:rsid w:val="00294F46"/>
    <w:rsid w:val="002957D9"/>
    <w:rsid w:val="00295A06"/>
    <w:rsid w:val="00295AE7"/>
    <w:rsid w:val="00295B10"/>
    <w:rsid w:val="00295C6B"/>
    <w:rsid w:val="00295D34"/>
    <w:rsid w:val="00295DC3"/>
    <w:rsid w:val="00295FBF"/>
    <w:rsid w:val="00296116"/>
    <w:rsid w:val="0029612E"/>
    <w:rsid w:val="00296299"/>
    <w:rsid w:val="00296456"/>
    <w:rsid w:val="002964A8"/>
    <w:rsid w:val="002968FB"/>
    <w:rsid w:val="00296A75"/>
    <w:rsid w:val="00296D17"/>
    <w:rsid w:val="00296D60"/>
    <w:rsid w:val="00296EF6"/>
    <w:rsid w:val="002977BC"/>
    <w:rsid w:val="00297AA2"/>
    <w:rsid w:val="00297B27"/>
    <w:rsid w:val="00297C6F"/>
    <w:rsid w:val="002A00F1"/>
    <w:rsid w:val="002A0127"/>
    <w:rsid w:val="002A0643"/>
    <w:rsid w:val="002A06CE"/>
    <w:rsid w:val="002A0BB2"/>
    <w:rsid w:val="002A0E9B"/>
    <w:rsid w:val="002A0F30"/>
    <w:rsid w:val="002A1002"/>
    <w:rsid w:val="002A1171"/>
    <w:rsid w:val="002A14CC"/>
    <w:rsid w:val="002A155E"/>
    <w:rsid w:val="002A15B3"/>
    <w:rsid w:val="002A16EF"/>
    <w:rsid w:val="002A16FD"/>
    <w:rsid w:val="002A1B34"/>
    <w:rsid w:val="002A218F"/>
    <w:rsid w:val="002A2271"/>
    <w:rsid w:val="002A22F7"/>
    <w:rsid w:val="002A2923"/>
    <w:rsid w:val="002A2D93"/>
    <w:rsid w:val="002A2FDF"/>
    <w:rsid w:val="002A3155"/>
    <w:rsid w:val="002A31D2"/>
    <w:rsid w:val="002A33E0"/>
    <w:rsid w:val="002A35DE"/>
    <w:rsid w:val="002A371D"/>
    <w:rsid w:val="002A3793"/>
    <w:rsid w:val="002A397D"/>
    <w:rsid w:val="002A3B0E"/>
    <w:rsid w:val="002A3DC4"/>
    <w:rsid w:val="002A3E58"/>
    <w:rsid w:val="002A4052"/>
    <w:rsid w:val="002A405B"/>
    <w:rsid w:val="002A407C"/>
    <w:rsid w:val="002A411F"/>
    <w:rsid w:val="002A418C"/>
    <w:rsid w:val="002A4214"/>
    <w:rsid w:val="002A42CA"/>
    <w:rsid w:val="002A4541"/>
    <w:rsid w:val="002A48B4"/>
    <w:rsid w:val="002A49FB"/>
    <w:rsid w:val="002A4D1F"/>
    <w:rsid w:val="002A511E"/>
    <w:rsid w:val="002A5148"/>
    <w:rsid w:val="002A5469"/>
    <w:rsid w:val="002A5584"/>
    <w:rsid w:val="002A5999"/>
    <w:rsid w:val="002A5B4A"/>
    <w:rsid w:val="002A5D68"/>
    <w:rsid w:val="002A6328"/>
    <w:rsid w:val="002A6680"/>
    <w:rsid w:val="002A66BD"/>
    <w:rsid w:val="002A6954"/>
    <w:rsid w:val="002A7047"/>
    <w:rsid w:val="002A72A5"/>
    <w:rsid w:val="002A75B5"/>
    <w:rsid w:val="002A76CA"/>
    <w:rsid w:val="002A77A1"/>
    <w:rsid w:val="002A79E0"/>
    <w:rsid w:val="002A7ACE"/>
    <w:rsid w:val="002A7CD0"/>
    <w:rsid w:val="002A7E3E"/>
    <w:rsid w:val="002A7EBD"/>
    <w:rsid w:val="002A7F0F"/>
    <w:rsid w:val="002B0245"/>
    <w:rsid w:val="002B064B"/>
    <w:rsid w:val="002B07BC"/>
    <w:rsid w:val="002B0A47"/>
    <w:rsid w:val="002B0A56"/>
    <w:rsid w:val="002B0A70"/>
    <w:rsid w:val="002B0C26"/>
    <w:rsid w:val="002B0D33"/>
    <w:rsid w:val="002B0F1F"/>
    <w:rsid w:val="002B1176"/>
    <w:rsid w:val="002B1207"/>
    <w:rsid w:val="002B128C"/>
    <w:rsid w:val="002B13D6"/>
    <w:rsid w:val="002B150B"/>
    <w:rsid w:val="002B154C"/>
    <w:rsid w:val="002B1692"/>
    <w:rsid w:val="002B1739"/>
    <w:rsid w:val="002B18D5"/>
    <w:rsid w:val="002B1B87"/>
    <w:rsid w:val="002B1CDD"/>
    <w:rsid w:val="002B1D07"/>
    <w:rsid w:val="002B1E3A"/>
    <w:rsid w:val="002B1EA7"/>
    <w:rsid w:val="002B22C4"/>
    <w:rsid w:val="002B28CD"/>
    <w:rsid w:val="002B29C9"/>
    <w:rsid w:val="002B2BC3"/>
    <w:rsid w:val="002B30F0"/>
    <w:rsid w:val="002B3393"/>
    <w:rsid w:val="002B366C"/>
    <w:rsid w:val="002B3B2C"/>
    <w:rsid w:val="002B3CEB"/>
    <w:rsid w:val="002B418C"/>
    <w:rsid w:val="002B479C"/>
    <w:rsid w:val="002B498C"/>
    <w:rsid w:val="002B49B9"/>
    <w:rsid w:val="002B4AF3"/>
    <w:rsid w:val="002B4CA9"/>
    <w:rsid w:val="002B5156"/>
    <w:rsid w:val="002B536E"/>
    <w:rsid w:val="002B553A"/>
    <w:rsid w:val="002B55BC"/>
    <w:rsid w:val="002B58AF"/>
    <w:rsid w:val="002B59C3"/>
    <w:rsid w:val="002B5A1B"/>
    <w:rsid w:val="002B5AF7"/>
    <w:rsid w:val="002B5B39"/>
    <w:rsid w:val="002B63D8"/>
    <w:rsid w:val="002B6472"/>
    <w:rsid w:val="002B64A5"/>
    <w:rsid w:val="002B6873"/>
    <w:rsid w:val="002B692B"/>
    <w:rsid w:val="002B6B77"/>
    <w:rsid w:val="002B6C3C"/>
    <w:rsid w:val="002B741F"/>
    <w:rsid w:val="002B77AA"/>
    <w:rsid w:val="002B77E0"/>
    <w:rsid w:val="002B7807"/>
    <w:rsid w:val="002B7916"/>
    <w:rsid w:val="002B7F70"/>
    <w:rsid w:val="002C00CE"/>
    <w:rsid w:val="002C011D"/>
    <w:rsid w:val="002C0738"/>
    <w:rsid w:val="002C0A53"/>
    <w:rsid w:val="002C0B87"/>
    <w:rsid w:val="002C0BDB"/>
    <w:rsid w:val="002C0C8E"/>
    <w:rsid w:val="002C0E51"/>
    <w:rsid w:val="002C100F"/>
    <w:rsid w:val="002C120D"/>
    <w:rsid w:val="002C12C1"/>
    <w:rsid w:val="002C12E2"/>
    <w:rsid w:val="002C1DF1"/>
    <w:rsid w:val="002C1F13"/>
    <w:rsid w:val="002C2346"/>
    <w:rsid w:val="002C2582"/>
    <w:rsid w:val="002C269F"/>
    <w:rsid w:val="002C26E8"/>
    <w:rsid w:val="002C2847"/>
    <w:rsid w:val="002C288E"/>
    <w:rsid w:val="002C2A03"/>
    <w:rsid w:val="002C2A6D"/>
    <w:rsid w:val="002C2C46"/>
    <w:rsid w:val="002C2C94"/>
    <w:rsid w:val="002C2CA6"/>
    <w:rsid w:val="002C2CD2"/>
    <w:rsid w:val="002C2EC0"/>
    <w:rsid w:val="002C2F1B"/>
    <w:rsid w:val="002C2FCA"/>
    <w:rsid w:val="002C30BB"/>
    <w:rsid w:val="002C3365"/>
    <w:rsid w:val="002C33E8"/>
    <w:rsid w:val="002C3613"/>
    <w:rsid w:val="002C385A"/>
    <w:rsid w:val="002C39E3"/>
    <w:rsid w:val="002C3D85"/>
    <w:rsid w:val="002C3E49"/>
    <w:rsid w:val="002C3E5A"/>
    <w:rsid w:val="002C407A"/>
    <w:rsid w:val="002C4160"/>
    <w:rsid w:val="002C4370"/>
    <w:rsid w:val="002C437A"/>
    <w:rsid w:val="002C4C81"/>
    <w:rsid w:val="002C4F60"/>
    <w:rsid w:val="002C508C"/>
    <w:rsid w:val="002C5158"/>
    <w:rsid w:val="002C540E"/>
    <w:rsid w:val="002C545C"/>
    <w:rsid w:val="002C56DD"/>
    <w:rsid w:val="002C5A74"/>
    <w:rsid w:val="002C5ACB"/>
    <w:rsid w:val="002C5BB6"/>
    <w:rsid w:val="002C5BC3"/>
    <w:rsid w:val="002C5C97"/>
    <w:rsid w:val="002C5CF0"/>
    <w:rsid w:val="002C5F6E"/>
    <w:rsid w:val="002C5FD1"/>
    <w:rsid w:val="002C633C"/>
    <w:rsid w:val="002C63E2"/>
    <w:rsid w:val="002C64D5"/>
    <w:rsid w:val="002C67C4"/>
    <w:rsid w:val="002C6823"/>
    <w:rsid w:val="002C6F81"/>
    <w:rsid w:val="002C71A4"/>
    <w:rsid w:val="002C74EE"/>
    <w:rsid w:val="002C74FC"/>
    <w:rsid w:val="002C773F"/>
    <w:rsid w:val="002C7960"/>
    <w:rsid w:val="002C7B24"/>
    <w:rsid w:val="002C7BEB"/>
    <w:rsid w:val="002C7BFD"/>
    <w:rsid w:val="002C7F90"/>
    <w:rsid w:val="002D040F"/>
    <w:rsid w:val="002D08A1"/>
    <w:rsid w:val="002D1455"/>
    <w:rsid w:val="002D1532"/>
    <w:rsid w:val="002D1778"/>
    <w:rsid w:val="002D194F"/>
    <w:rsid w:val="002D1962"/>
    <w:rsid w:val="002D19DA"/>
    <w:rsid w:val="002D1A3A"/>
    <w:rsid w:val="002D1AE3"/>
    <w:rsid w:val="002D1E86"/>
    <w:rsid w:val="002D1FD0"/>
    <w:rsid w:val="002D248B"/>
    <w:rsid w:val="002D24B1"/>
    <w:rsid w:val="002D2511"/>
    <w:rsid w:val="002D2696"/>
    <w:rsid w:val="002D270D"/>
    <w:rsid w:val="002D2749"/>
    <w:rsid w:val="002D29BC"/>
    <w:rsid w:val="002D2C42"/>
    <w:rsid w:val="002D2FC4"/>
    <w:rsid w:val="002D32B2"/>
    <w:rsid w:val="002D34EB"/>
    <w:rsid w:val="002D3590"/>
    <w:rsid w:val="002D3808"/>
    <w:rsid w:val="002D38F9"/>
    <w:rsid w:val="002D399B"/>
    <w:rsid w:val="002D3A48"/>
    <w:rsid w:val="002D3CE1"/>
    <w:rsid w:val="002D3FB6"/>
    <w:rsid w:val="002D4703"/>
    <w:rsid w:val="002D474D"/>
    <w:rsid w:val="002D4B60"/>
    <w:rsid w:val="002D4C28"/>
    <w:rsid w:val="002D4DD9"/>
    <w:rsid w:val="002D4DF1"/>
    <w:rsid w:val="002D4E0C"/>
    <w:rsid w:val="002D4E29"/>
    <w:rsid w:val="002D5152"/>
    <w:rsid w:val="002D5255"/>
    <w:rsid w:val="002D58DD"/>
    <w:rsid w:val="002D5ABF"/>
    <w:rsid w:val="002D5B3C"/>
    <w:rsid w:val="002D5C05"/>
    <w:rsid w:val="002D608E"/>
    <w:rsid w:val="002D6358"/>
    <w:rsid w:val="002D65A6"/>
    <w:rsid w:val="002D68D4"/>
    <w:rsid w:val="002D6A8A"/>
    <w:rsid w:val="002D6AC2"/>
    <w:rsid w:val="002D6BDC"/>
    <w:rsid w:val="002D6CC3"/>
    <w:rsid w:val="002D6EEC"/>
    <w:rsid w:val="002D6FC8"/>
    <w:rsid w:val="002D701C"/>
    <w:rsid w:val="002D703E"/>
    <w:rsid w:val="002D706E"/>
    <w:rsid w:val="002D70A1"/>
    <w:rsid w:val="002D724E"/>
    <w:rsid w:val="002D7374"/>
    <w:rsid w:val="002D73E1"/>
    <w:rsid w:val="002D7722"/>
    <w:rsid w:val="002D78FD"/>
    <w:rsid w:val="002D7C2E"/>
    <w:rsid w:val="002D7C73"/>
    <w:rsid w:val="002D7E68"/>
    <w:rsid w:val="002E0015"/>
    <w:rsid w:val="002E0083"/>
    <w:rsid w:val="002E0668"/>
    <w:rsid w:val="002E07B4"/>
    <w:rsid w:val="002E0882"/>
    <w:rsid w:val="002E08F3"/>
    <w:rsid w:val="002E0939"/>
    <w:rsid w:val="002E09A8"/>
    <w:rsid w:val="002E0C5B"/>
    <w:rsid w:val="002E0EFB"/>
    <w:rsid w:val="002E1128"/>
    <w:rsid w:val="002E1305"/>
    <w:rsid w:val="002E14C5"/>
    <w:rsid w:val="002E178D"/>
    <w:rsid w:val="002E1794"/>
    <w:rsid w:val="002E1A43"/>
    <w:rsid w:val="002E1C9D"/>
    <w:rsid w:val="002E1D93"/>
    <w:rsid w:val="002E1DAE"/>
    <w:rsid w:val="002E1E0C"/>
    <w:rsid w:val="002E1FC7"/>
    <w:rsid w:val="002E236A"/>
    <w:rsid w:val="002E241E"/>
    <w:rsid w:val="002E2499"/>
    <w:rsid w:val="002E25DF"/>
    <w:rsid w:val="002E26F4"/>
    <w:rsid w:val="002E2708"/>
    <w:rsid w:val="002E279A"/>
    <w:rsid w:val="002E287E"/>
    <w:rsid w:val="002E2902"/>
    <w:rsid w:val="002E2F3E"/>
    <w:rsid w:val="002E3069"/>
    <w:rsid w:val="002E37AA"/>
    <w:rsid w:val="002E381D"/>
    <w:rsid w:val="002E3838"/>
    <w:rsid w:val="002E3B02"/>
    <w:rsid w:val="002E3B29"/>
    <w:rsid w:val="002E3B8F"/>
    <w:rsid w:val="002E3C06"/>
    <w:rsid w:val="002E3C30"/>
    <w:rsid w:val="002E406E"/>
    <w:rsid w:val="002E40B3"/>
    <w:rsid w:val="002E41E7"/>
    <w:rsid w:val="002E49BB"/>
    <w:rsid w:val="002E4A9E"/>
    <w:rsid w:val="002E4AD4"/>
    <w:rsid w:val="002E4C1C"/>
    <w:rsid w:val="002E4F28"/>
    <w:rsid w:val="002E539A"/>
    <w:rsid w:val="002E5CBD"/>
    <w:rsid w:val="002E5D6F"/>
    <w:rsid w:val="002E5DF8"/>
    <w:rsid w:val="002E688B"/>
    <w:rsid w:val="002E6B4E"/>
    <w:rsid w:val="002E6D6C"/>
    <w:rsid w:val="002E7033"/>
    <w:rsid w:val="002E7466"/>
    <w:rsid w:val="002E784C"/>
    <w:rsid w:val="002E7B0A"/>
    <w:rsid w:val="002E7B36"/>
    <w:rsid w:val="002E7CBC"/>
    <w:rsid w:val="002F0216"/>
    <w:rsid w:val="002F0319"/>
    <w:rsid w:val="002F04A1"/>
    <w:rsid w:val="002F05EB"/>
    <w:rsid w:val="002F0963"/>
    <w:rsid w:val="002F0AA1"/>
    <w:rsid w:val="002F0C91"/>
    <w:rsid w:val="002F0CD0"/>
    <w:rsid w:val="002F0D31"/>
    <w:rsid w:val="002F0E5F"/>
    <w:rsid w:val="002F1245"/>
    <w:rsid w:val="002F135C"/>
    <w:rsid w:val="002F1438"/>
    <w:rsid w:val="002F18D4"/>
    <w:rsid w:val="002F1919"/>
    <w:rsid w:val="002F1973"/>
    <w:rsid w:val="002F1A05"/>
    <w:rsid w:val="002F1C8D"/>
    <w:rsid w:val="002F1D96"/>
    <w:rsid w:val="002F1EC2"/>
    <w:rsid w:val="002F20D6"/>
    <w:rsid w:val="002F2180"/>
    <w:rsid w:val="002F21AC"/>
    <w:rsid w:val="002F2397"/>
    <w:rsid w:val="002F2445"/>
    <w:rsid w:val="002F2549"/>
    <w:rsid w:val="002F27A5"/>
    <w:rsid w:val="002F2A3E"/>
    <w:rsid w:val="002F2B9B"/>
    <w:rsid w:val="002F2C3E"/>
    <w:rsid w:val="002F2DAC"/>
    <w:rsid w:val="002F2DB8"/>
    <w:rsid w:val="002F315F"/>
    <w:rsid w:val="002F322F"/>
    <w:rsid w:val="002F332A"/>
    <w:rsid w:val="002F3381"/>
    <w:rsid w:val="002F3480"/>
    <w:rsid w:val="002F3692"/>
    <w:rsid w:val="002F37D0"/>
    <w:rsid w:val="002F3945"/>
    <w:rsid w:val="002F3A95"/>
    <w:rsid w:val="002F3AAB"/>
    <w:rsid w:val="002F3C0B"/>
    <w:rsid w:val="002F3FBD"/>
    <w:rsid w:val="002F421E"/>
    <w:rsid w:val="002F425A"/>
    <w:rsid w:val="002F439A"/>
    <w:rsid w:val="002F4B18"/>
    <w:rsid w:val="002F4DF1"/>
    <w:rsid w:val="002F4EAA"/>
    <w:rsid w:val="002F4F00"/>
    <w:rsid w:val="002F528C"/>
    <w:rsid w:val="002F5556"/>
    <w:rsid w:val="002F56E5"/>
    <w:rsid w:val="002F570B"/>
    <w:rsid w:val="002F5F5C"/>
    <w:rsid w:val="002F604E"/>
    <w:rsid w:val="002F6333"/>
    <w:rsid w:val="002F63F3"/>
    <w:rsid w:val="002F65C2"/>
    <w:rsid w:val="002F6656"/>
    <w:rsid w:val="002F675C"/>
    <w:rsid w:val="002F699E"/>
    <w:rsid w:val="002F6A85"/>
    <w:rsid w:val="002F6E41"/>
    <w:rsid w:val="002F6E63"/>
    <w:rsid w:val="002F6FB8"/>
    <w:rsid w:val="002F74C4"/>
    <w:rsid w:val="002F74DA"/>
    <w:rsid w:val="002F774E"/>
    <w:rsid w:val="002F7870"/>
    <w:rsid w:val="002F7BD7"/>
    <w:rsid w:val="002F7CD7"/>
    <w:rsid w:val="002F7CF9"/>
    <w:rsid w:val="002F7FDE"/>
    <w:rsid w:val="00300032"/>
    <w:rsid w:val="0030007A"/>
    <w:rsid w:val="0030018C"/>
    <w:rsid w:val="003002F0"/>
    <w:rsid w:val="00300492"/>
    <w:rsid w:val="00300913"/>
    <w:rsid w:val="00300B90"/>
    <w:rsid w:val="00300BC1"/>
    <w:rsid w:val="00300CEF"/>
    <w:rsid w:val="0030117E"/>
    <w:rsid w:val="00301A53"/>
    <w:rsid w:val="00301BA1"/>
    <w:rsid w:val="00301C13"/>
    <w:rsid w:val="00301CBB"/>
    <w:rsid w:val="00301D07"/>
    <w:rsid w:val="00301D32"/>
    <w:rsid w:val="00301D3A"/>
    <w:rsid w:val="00301D50"/>
    <w:rsid w:val="00301E29"/>
    <w:rsid w:val="00301F5D"/>
    <w:rsid w:val="00301F61"/>
    <w:rsid w:val="00302104"/>
    <w:rsid w:val="0030214F"/>
    <w:rsid w:val="003023C0"/>
    <w:rsid w:val="003027D0"/>
    <w:rsid w:val="00302806"/>
    <w:rsid w:val="00302B81"/>
    <w:rsid w:val="00302D3E"/>
    <w:rsid w:val="00302E53"/>
    <w:rsid w:val="00302FBD"/>
    <w:rsid w:val="0030337A"/>
    <w:rsid w:val="003033A2"/>
    <w:rsid w:val="0030343F"/>
    <w:rsid w:val="003034FA"/>
    <w:rsid w:val="0030380E"/>
    <w:rsid w:val="003039ED"/>
    <w:rsid w:val="00303AE5"/>
    <w:rsid w:val="00303AFC"/>
    <w:rsid w:val="00303F37"/>
    <w:rsid w:val="003041C4"/>
    <w:rsid w:val="003043FF"/>
    <w:rsid w:val="00304495"/>
    <w:rsid w:val="003044AA"/>
    <w:rsid w:val="003047BB"/>
    <w:rsid w:val="003047C1"/>
    <w:rsid w:val="00304885"/>
    <w:rsid w:val="0030497D"/>
    <w:rsid w:val="0030509B"/>
    <w:rsid w:val="003050B3"/>
    <w:rsid w:val="00305341"/>
    <w:rsid w:val="003054C3"/>
    <w:rsid w:val="00305931"/>
    <w:rsid w:val="00305CDE"/>
    <w:rsid w:val="00305FB3"/>
    <w:rsid w:val="00305FC4"/>
    <w:rsid w:val="00306246"/>
    <w:rsid w:val="003063B2"/>
    <w:rsid w:val="00306443"/>
    <w:rsid w:val="003065E7"/>
    <w:rsid w:val="0030660D"/>
    <w:rsid w:val="00306868"/>
    <w:rsid w:val="00306939"/>
    <w:rsid w:val="00306970"/>
    <w:rsid w:val="003069C3"/>
    <w:rsid w:val="00306CF6"/>
    <w:rsid w:val="00306FAB"/>
    <w:rsid w:val="0030700A"/>
    <w:rsid w:val="003071BE"/>
    <w:rsid w:val="003074DD"/>
    <w:rsid w:val="00307A9E"/>
    <w:rsid w:val="00307B6C"/>
    <w:rsid w:val="00307C33"/>
    <w:rsid w:val="00307F01"/>
    <w:rsid w:val="00307F98"/>
    <w:rsid w:val="00307FA0"/>
    <w:rsid w:val="003103C1"/>
    <w:rsid w:val="00310792"/>
    <w:rsid w:val="00310AA8"/>
    <w:rsid w:val="00310C27"/>
    <w:rsid w:val="00310CDA"/>
    <w:rsid w:val="00310F61"/>
    <w:rsid w:val="00311286"/>
    <w:rsid w:val="0031158C"/>
    <w:rsid w:val="00311652"/>
    <w:rsid w:val="00311958"/>
    <w:rsid w:val="00311AB7"/>
    <w:rsid w:val="00311BB2"/>
    <w:rsid w:val="0031202C"/>
    <w:rsid w:val="00312285"/>
    <w:rsid w:val="0031242E"/>
    <w:rsid w:val="0031244E"/>
    <w:rsid w:val="00312485"/>
    <w:rsid w:val="0031265A"/>
    <w:rsid w:val="00312939"/>
    <w:rsid w:val="00312D24"/>
    <w:rsid w:val="00312F56"/>
    <w:rsid w:val="00313525"/>
    <w:rsid w:val="003135F1"/>
    <w:rsid w:val="003136FC"/>
    <w:rsid w:val="00313AD7"/>
    <w:rsid w:val="00314072"/>
    <w:rsid w:val="003140BB"/>
    <w:rsid w:val="00314391"/>
    <w:rsid w:val="003148EC"/>
    <w:rsid w:val="003148F5"/>
    <w:rsid w:val="003149D8"/>
    <w:rsid w:val="00314CF4"/>
    <w:rsid w:val="00314D67"/>
    <w:rsid w:val="00314E74"/>
    <w:rsid w:val="0031500B"/>
    <w:rsid w:val="00315038"/>
    <w:rsid w:val="0031506F"/>
    <w:rsid w:val="003150BD"/>
    <w:rsid w:val="003151E1"/>
    <w:rsid w:val="003152DD"/>
    <w:rsid w:val="0031531A"/>
    <w:rsid w:val="0031572C"/>
    <w:rsid w:val="003157B6"/>
    <w:rsid w:val="00315B2B"/>
    <w:rsid w:val="00315C10"/>
    <w:rsid w:val="00315D9B"/>
    <w:rsid w:val="00315DF4"/>
    <w:rsid w:val="003160E9"/>
    <w:rsid w:val="0031638F"/>
    <w:rsid w:val="003166C7"/>
    <w:rsid w:val="003167B8"/>
    <w:rsid w:val="00316D86"/>
    <w:rsid w:val="00316E1D"/>
    <w:rsid w:val="00316FE2"/>
    <w:rsid w:val="00316FF2"/>
    <w:rsid w:val="00317267"/>
    <w:rsid w:val="003172FA"/>
    <w:rsid w:val="00317305"/>
    <w:rsid w:val="00317596"/>
    <w:rsid w:val="00317BDC"/>
    <w:rsid w:val="00317C42"/>
    <w:rsid w:val="00317E52"/>
    <w:rsid w:val="00317FDD"/>
    <w:rsid w:val="00320709"/>
    <w:rsid w:val="00320895"/>
    <w:rsid w:val="00320948"/>
    <w:rsid w:val="00320962"/>
    <w:rsid w:val="00320A3B"/>
    <w:rsid w:val="00320C1D"/>
    <w:rsid w:val="00320CD6"/>
    <w:rsid w:val="00320DAE"/>
    <w:rsid w:val="00320DBB"/>
    <w:rsid w:val="00320E64"/>
    <w:rsid w:val="00320FF1"/>
    <w:rsid w:val="00321055"/>
    <w:rsid w:val="003210DC"/>
    <w:rsid w:val="003210E9"/>
    <w:rsid w:val="0032111F"/>
    <w:rsid w:val="00321252"/>
    <w:rsid w:val="003212D3"/>
    <w:rsid w:val="0032179F"/>
    <w:rsid w:val="0032180A"/>
    <w:rsid w:val="00321A94"/>
    <w:rsid w:val="00321D35"/>
    <w:rsid w:val="003220F9"/>
    <w:rsid w:val="003221C4"/>
    <w:rsid w:val="0032236E"/>
    <w:rsid w:val="003223D1"/>
    <w:rsid w:val="0032257E"/>
    <w:rsid w:val="00322641"/>
    <w:rsid w:val="003226EE"/>
    <w:rsid w:val="003228AA"/>
    <w:rsid w:val="00322D68"/>
    <w:rsid w:val="00322F3E"/>
    <w:rsid w:val="003232F4"/>
    <w:rsid w:val="00323301"/>
    <w:rsid w:val="00323505"/>
    <w:rsid w:val="00323734"/>
    <w:rsid w:val="00323944"/>
    <w:rsid w:val="00323A07"/>
    <w:rsid w:val="00323F75"/>
    <w:rsid w:val="00324046"/>
    <w:rsid w:val="00324094"/>
    <w:rsid w:val="003240B6"/>
    <w:rsid w:val="00324460"/>
    <w:rsid w:val="003247C9"/>
    <w:rsid w:val="00324BC1"/>
    <w:rsid w:val="00325206"/>
    <w:rsid w:val="00325248"/>
    <w:rsid w:val="0032526A"/>
    <w:rsid w:val="00325319"/>
    <w:rsid w:val="0032548E"/>
    <w:rsid w:val="0032588E"/>
    <w:rsid w:val="00325A2E"/>
    <w:rsid w:val="00325A87"/>
    <w:rsid w:val="00325C6F"/>
    <w:rsid w:val="00325CFA"/>
    <w:rsid w:val="00325D9B"/>
    <w:rsid w:val="00325F71"/>
    <w:rsid w:val="00325FEC"/>
    <w:rsid w:val="00326065"/>
    <w:rsid w:val="00326074"/>
    <w:rsid w:val="00326092"/>
    <w:rsid w:val="0032611F"/>
    <w:rsid w:val="003261B6"/>
    <w:rsid w:val="00326351"/>
    <w:rsid w:val="003263B3"/>
    <w:rsid w:val="0032671F"/>
    <w:rsid w:val="00326B43"/>
    <w:rsid w:val="00326EA6"/>
    <w:rsid w:val="00326F08"/>
    <w:rsid w:val="00326FC4"/>
    <w:rsid w:val="00327000"/>
    <w:rsid w:val="0032720E"/>
    <w:rsid w:val="003273AB"/>
    <w:rsid w:val="003274F6"/>
    <w:rsid w:val="0032765C"/>
    <w:rsid w:val="003277E7"/>
    <w:rsid w:val="00327FC2"/>
    <w:rsid w:val="003309B0"/>
    <w:rsid w:val="003309FB"/>
    <w:rsid w:val="00330ACE"/>
    <w:rsid w:val="00330C88"/>
    <w:rsid w:val="00330CDE"/>
    <w:rsid w:val="00330F50"/>
    <w:rsid w:val="0033129B"/>
    <w:rsid w:val="00331973"/>
    <w:rsid w:val="0033198D"/>
    <w:rsid w:val="003319FA"/>
    <w:rsid w:val="00331A39"/>
    <w:rsid w:val="00331B1F"/>
    <w:rsid w:val="00331D3E"/>
    <w:rsid w:val="00331DA9"/>
    <w:rsid w:val="00331E20"/>
    <w:rsid w:val="00331FBE"/>
    <w:rsid w:val="003320A4"/>
    <w:rsid w:val="00332242"/>
    <w:rsid w:val="00332266"/>
    <w:rsid w:val="003323BB"/>
    <w:rsid w:val="003325CF"/>
    <w:rsid w:val="003325F2"/>
    <w:rsid w:val="00332801"/>
    <w:rsid w:val="00332F85"/>
    <w:rsid w:val="00332FAD"/>
    <w:rsid w:val="00333116"/>
    <w:rsid w:val="003331EE"/>
    <w:rsid w:val="0033340C"/>
    <w:rsid w:val="00333482"/>
    <w:rsid w:val="003339A4"/>
    <w:rsid w:val="00333A37"/>
    <w:rsid w:val="00333A64"/>
    <w:rsid w:val="00333C22"/>
    <w:rsid w:val="00333CB7"/>
    <w:rsid w:val="00333CC9"/>
    <w:rsid w:val="00333F1F"/>
    <w:rsid w:val="00333F2A"/>
    <w:rsid w:val="00333FAE"/>
    <w:rsid w:val="00334263"/>
    <w:rsid w:val="003342B2"/>
    <w:rsid w:val="00334502"/>
    <w:rsid w:val="003346FC"/>
    <w:rsid w:val="0033478A"/>
    <w:rsid w:val="00334BF9"/>
    <w:rsid w:val="00334DF7"/>
    <w:rsid w:val="00335136"/>
    <w:rsid w:val="00335429"/>
    <w:rsid w:val="003354AC"/>
    <w:rsid w:val="003354F0"/>
    <w:rsid w:val="00335588"/>
    <w:rsid w:val="00335636"/>
    <w:rsid w:val="003359D4"/>
    <w:rsid w:val="00335A22"/>
    <w:rsid w:val="00335D00"/>
    <w:rsid w:val="00335D81"/>
    <w:rsid w:val="00335DD4"/>
    <w:rsid w:val="00335E22"/>
    <w:rsid w:val="00335EB2"/>
    <w:rsid w:val="00335F16"/>
    <w:rsid w:val="00335F30"/>
    <w:rsid w:val="00335F57"/>
    <w:rsid w:val="00335F95"/>
    <w:rsid w:val="00336197"/>
    <w:rsid w:val="00336254"/>
    <w:rsid w:val="00336276"/>
    <w:rsid w:val="00336395"/>
    <w:rsid w:val="003363BF"/>
    <w:rsid w:val="00336584"/>
    <w:rsid w:val="00336792"/>
    <w:rsid w:val="00336A75"/>
    <w:rsid w:val="00336E14"/>
    <w:rsid w:val="00336FAB"/>
    <w:rsid w:val="0033727C"/>
    <w:rsid w:val="003375B1"/>
    <w:rsid w:val="00337941"/>
    <w:rsid w:val="003379F9"/>
    <w:rsid w:val="00337CE9"/>
    <w:rsid w:val="00337E5A"/>
    <w:rsid w:val="00337EA8"/>
    <w:rsid w:val="0034032F"/>
    <w:rsid w:val="00340504"/>
    <w:rsid w:val="00340BB7"/>
    <w:rsid w:val="00340BC9"/>
    <w:rsid w:val="00340DB9"/>
    <w:rsid w:val="00340DFF"/>
    <w:rsid w:val="00341111"/>
    <w:rsid w:val="003411C8"/>
    <w:rsid w:val="00341532"/>
    <w:rsid w:val="003416B2"/>
    <w:rsid w:val="00341C2B"/>
    <w:rsid w:val="00341C5E"/>
    <w:rsid w:val="003420AA"/>
    <w:rsid w:val="003420B5"/>
    <w:rsid w:val="003423A1"/>
    <w:rsid w:val="003424CF"/>
    <w:rsid w:val="00342655"/>
    <w:rsid w:val="0034275B"/>
    <w:rsid w:val="003428C6"/>
    <w:rsid w:val="00342BF3"/>
    <w:rsid w:val="00342F58"/>
    <w:rsid w:val="0034307E"/>
    <w:rsid w:val="00343645"/>
    <w:rsid w:val="003437C1"/>
    <w:rsid w:val="003439F3"/>
    <w:rsid w:val="00343D1E"/>
    <w:rsid w:val="00343E29"/>
    <w:rsid w:val="00343E99"/>
    <w:rsid w:val="00343EDD"/>
    <w:rsid w:val="00343F6B"/>
    <w:rsid w:val="00343F8E"/>
    <w:rsid w:val="003440D4"/>
    <w:rsid w:val="0034413E"/>
    <w:rsid w:val="00344522"/>
    <w:rsid w:val="00344597"/>
    <w:rsid w:val="003445E2"/>
    <w:rsid w:val="00344632"/>
    <w:rsid w:val="003448A4"/>
    <w:rsid w:val="003448B5"/>
    <w:rsid w:val="0034497D"/>
    <w:rsid w:val="003449E7"/>
    <w:rsid w:val="00344BB9"/>
    <w:rsid w:val="00344F0C"/>
    <w:rsid w:val="003450E8"/>
    <w:rsid w:val="00345183"/>
    <w:rsid w:val="00345863"/>
    <w:rsid w:val="003458F4"/>
    <w:rsid w:val="00345928"/>
    <w:rsid w:val="00345AA1"/>
    <w:rsid w:val="00345B1F"/>
    <w:rsid w:val="00345C76"/>
    <w:rsid w:val="00345D5F"/>
    <w:rsid w:val="0034608E"/>
    <w:rsid w:val="00346119"/>
    <w:rsid w:val="003463DC"/>
    <w:rsid w:val="003468FF"/>
    <w:rsid w:val="00346913"/>
    <w:rsid w:val="00346967"/>
    <w:rsid w:val="003469E6"/>
    <w:rsid w:val="00346A97"/>
    <w:rsid w:val="00346BE0"/>
    <w:rsid w:val="00346CA9"/>
    <w:rsid w:val="00346DA1"/>
    <w:rsid w:val="00347054"/>
    <w:rsid w:val="003472CD"/>
    <w:rsid w:val="00347379"/>
    <w:rsid w:val="0034740B"/>
    <w:rsid w:val="0034747C"/>
    <w:rsid w:val="0034748C"/>
    <w:rsid w:val="003474AC"/>
    <w:rsid w:val="003474B2"/>
    <w:rsid w:val="00347773"/>
    <w:rsid w:val="00347C02"/>
    <w:rsid w:val="00347FE0"/>
    <w:rsid w:val="0035003F"/>
    <w:rsid w:val="0035018A"/>
    <w:rsid w:val="00350623"/>
    <w:rsid w:val="003507F5"/>
    <w:rsid w:val="003509EF"/>
    <w:rsid w:val="00350BC3"/>
    <w:rsid w:val="00350E00"/>
    <w:rsid w:val="0035135C"/>
    <w:rsid w:val="003513C1"/>
    <w:rsid w:val="00351674"/>
    <w:rsid w:val="00351840"/>
    <w:rsid w:val="003518CE"/>
    <w:rsid w:val="00351B22"/>
    <w:rsid w:val="00351DFA"/>
    <w:rsid w:val="00351EDE"/>
    <w:rsid w:val="00352038"/>
    <w:rsid w:val="003520C7"/>
    <w:rsid w:val="003521B7"/>
    <w:rsid w:val="0035225D"/>
    <w:rsid w:val="003524C6"/>
    <w:rsid w:val="00352690"/>
    <w:rsid w:val="00352692"/>
    <w:rsid w:val="00352846"/>
    <w:rsid w:val="003528C3"/>
    <w:rsid w:val="00352AED"/>
    <w:rsid w:val="00352E4A"/>
    <w:rsid w:val="00352FA3"/>
    <w:rsid w:val="003532AC"/>
    <w:rsid w:val="00353505"/>
    <w:rsid w:val="003538BE"/>
    <w:rsid w:val="003539E3"/>
    <w:rsid w:val="00353DC0"/>
    <w:rsid w:val="00353DE7"/>
    <w:rsid w:val="0035401F"/>
    <w:rsid w:val="00354096"/>
    <w:rsid w:val="003541EF"/>
    <w:rsid w:val="003544D3"/>
    <w:rsid w:val="00354568"/>
    <w:rsid w:val="0035480B"/>
    <w:rsid w:val="0035482B"/>
    <w:rsid w:val="00354A90"/>
    <w:rsid w:val="00354E86"/>
    <w:rsid w:val="00354F12"/>
    <w:rsid w:val="00355105"/>
    <w:rsid w:val="0035510E"/>
    <w:rsid w:val="003556A2"/>
    <w:rsid w:val="003557D0"/>
    <w:rsid w:val="003557EF"/>
    <w:rsid w:val="00355A8D"/>
    <w:rsid w:val="00355ACE"/>
    <w:rsid w:val="00355BDE"/>
    <w:rsid w:val="00355C69"/>
    <w:rsid w:val="00355C6E"/>
    <w:rsid w:val="00356217"/>
    <w:rsid w:val="00356302"/>
    <w:rsid w:val="00356534"/>
    <w:rsid w:val="00356605"/>
    <w:rsid w:val="0035670E"/>
    <w:rsid w:val="003568DA"/>
    <w:rsid w:val="00356A36"/>
    <w:rsid w:val="00356BAA"/>
    <w:rsid w:val="00356C7F"/>
    <w:rsid w:val="00356D39"/>
    <w:rsid w:val="00356EAA"/>
    <w:rsid w:val="00357133"/>
    <w:rsid w:val="003573B1"/>
    <w:rsid w:val="00357533"/>
    <w:rsid w:val="003575D5"/>
    <w:rsid w:val="003577E3"/>
    <w:rsid w:val="003578C4"/>
    <w:rsid w:val="00357957"/>
    <w:rsid w:val="00357A3C"/>
    <w:rsid w:val="00357A3E"/>
    <w:rsid w:val="00357B4B"/>
    <w:rsid w:val="00357CF8"/>
    <w:rsid w:val="0036067B"/>
    <w:rsid w:val="003606BF"/>
    <w:rsid w:val="00360AD0"/>
    <w:rsid w:val="00360BDC"/>
    <w:rsid w:val="00360E7D"/>
    <w:rsid w:val="0036120E"/>
    <w:rsid w:val="00361355"/>
    <w:rsid w:val="00361632"/>
    <w:rsid w:val="0036169A"/>
    <w:rsid w:val="00361AC9"/>
    <w:rsid w:val="00361AD0"/>
    <w:rsid w:val="00361CAC"/>
    <w:rsid w:val="00361CE9"/>
    <w:rsid w:val="00361E15"/>
    <w:rsid w:val="00362341"/>
    <w:rsid w:val="003624B4"/>
    <w:rsid w:val="00362AD6"/>
    <w:rsid w:val="00362AD8"/>
    <w:rsid w:val="00362C3D"/>
    <w:rsid w:val="00362C71"/>
    <w:rsid w:val="00362CA2"/>
    <w:rsid w:val="00362CFD"/>
    <w:rsid w:val="00362D8D"/>
    <w:rsid w:val="00363114"/>
    <w:rsid w:val="0036318C"/>
    <w:rsid w:val="00363334"/>
    <w:rsid w:val="00363443"/>
    <w:rsid w:val="00363544"/>
    <w:rsid w:val="00363688"/>
    <w:rsid w:val="003636CF"/>
    <w:rsid w:val="0036392E"/>
    <w:rsid w:val="003639FC"/>
    <w:rsid w:val="00363B37"/>
    <w:rsid w:val="00364025"/>
    <w:rsid w:val="003648B5"/>
    <w:rsid w:val="003648F7"/>
    <w:rsid w:val="00364BCE"/>
    <w:rsid w:val="00364C94"/>
    <w:rsid w:val="00364CC4"/>
    <w:rsid w:val="00364E00"/>
    <w:rsid w:val="00364F6A"/>
    <w:rsid w:val="003653A4"/>
    <w:rsid w:val="00365999"/>
    <w:rsid w:val="003659A9"/>
    <w:rsid w:val="00365AEE"/>
    <w:rsid w:val="00365AEF"/>
    <w:rsid w:val="00365B08"/>
    <w:rsid w:val="00365D33"/>
    <w:rsid w:val="00365E25"/>
    <w:rsid w:val="00365F22"/>
    <w:rsid w:val="003662BB"/>
    <w:rsid w:val="003662E1"/>
    <w:rsid w:val="0036634A"/>
    <w:rsid w:val="003669E3"/>
    <w:rsid w:val="00366BED"/>
    <w:rsid w:val="00366CD5"/>
    <w:rsid w:val="00366F77"/>
    <w:rsid w:val="00367178"/>
    <w:rsid w:val="00367286"/>
    <w:rsid w:val="00367299"/>
    <w:rsid w:val="0036735D"/>
    <w:rsid w:val="00367417"/>
    <w:rsid w:val="003677F0"/>
    <w:rsid w:val="0037020D"/>
    <w:rsid w:val="00370929"/>
    <w:rsid w:val="00370F0C"/>
    <w:rsid w:val="00370F91"/>
    <w:rsid w:val="00370FC3"/>
    <w:rsid w:val="003713BE"/>
    <w:rsid w:val="003713D1"/>
    <w:rsid w:val="003719AA"/>
    <w:rsid w:val="00371BE4"/>
    <w:rsid w:val="003723C0"/>
    <w:rsid w:val="00372777"/>
    <w:rsid w:val="0037299D"/>
    <w:rsid w:val="00372B7B"/>
    <w:rsid w:val="00372B83"/>
    <w:rsid w:val="00372CAD"/>
    <w:rsid w:val="00372F1F"/>
    <w:rsid w:val="0037303A"/>
    <w:rsid w:val="003731C0"/>
    <w:rsid w:val="003732AF"/>
    <w:rsid w:val="003734E6"/>
    <w:rsid w:val="003737D7"/>
    <w:rsid w:val="00373A7A"/>
    <w:rsid w:val="00373D1F"/>
    <w:rsid w:val="00373D30"/>
    <w:rsid w:val="00373D33"/>
    <w:rsid w:val="00374047"/>
    <w:rsid w:val="00374066"/>
    <w:rsid w:val="003740F2"/>
    <w:rsid w:val="00374272"/>
    <w:rsid w:val="003743D2"/>
    <w:rsid w:val="00374755"/>
    <w:rsid w:val="00374956"/>
    <w:rsid w:val="00374C7D"/>
    <w:rsid w:val="00374D33"/>
    <w:rsid w:val="00374DC7"/>
    <w:rsid w:val="00374DDF"/>
    <w:rsid w:val="003751DF"/>
    <w:rsid w:val="003751FD"/>
    <w:rsid w:val="00375341"/>
    <w:rsid w:val="003753EF"/>
    <w:rsid w:val="00375613"/>
    <w:rsid w:val="00375A78"/>
    <w:rsid w:val="00375B2C"/>
    <w:rsid w:val="00375BB7"/>
    <w:rsid w:val="00375C35"/>
    <w:rsid w:val="00375CDB"/>
    <w:rsid w:val="00375D12"/>
    <w:rsid w:val="00376639"/>
    <w:rsid w:val="00376661"/>
    <w:rsid w:val="00376931"/>
    <w:rsid w:val="003769D0"/>
    <w:rsid w:val="00376A37"/>
    <w:rsid w:val="00376A7B"/>
    <w:rsid w:val="00376B72"/>
    <w:rsid w:val="00376BA7"/>
    <w:rsid w:val="00376C2E"/>
    <w:rsid w:val="00376C5B"/>
    <w:rsid w:val="00376CC8"/>
    <w:rsid w:val="00376E88"/>
    <w:rsid w:val="00376F7A"/>
    <w:rsid w:val="003770C6"/>
    <w:rsid w:val="0037729D"/>
    <w:rsid w:val="003774B8"/>
    <w:rsid w:val="003776FB"/>
    <w:rsid w:val="00377B6F"/>
    <w:rsid w:val="00380223"/>
    <w:rsid w:val="003802F4"/>
    <w:rsid w:val="003804FB"/>
    <w:rsid w:val="0038070E"/>
    <w:rsid w:val="0038079E"/>
    <w:rsid w:val="00380A2C"/>
    <w:rsid w:val="00380BFD"/>
    <w:rsid w:val="00380C50"/>
    <w:rsid w:val="00380D0B"/>
    <w:rsid w:val="0038117C"/>
    <w:rsid w:val="00381253"/>
    <w:rsid w:val="003813D6"/>
    <w:rsid w:val="003813DF"/>
    <w:rsid w:val="003814BC"/>
    <w:rsid w:val="0038159A"/>
    <w:rsid w:val="003819DD"/>
    <w:rsid w:val="00381D0E"/>
    <w:rsid w:val="00381D41"/>
    <w:rsid w:val="00381EF2"/>
    <w:rsid w:val="00381FA6"/>
    <w:rsid w:val="003824CB"/>
    <w:rsid w:val="003826D2"/>
    <w:rsid w:val="003827B3"/>
    <w:rsid w:val="003827C2"/>
    <w:rsid w:val="0038285A"/>
    <w:rsid w:val="00382942"/>
    <w:rsid w:val="00382E4C"/>
    <w:rsid w:val="00382EC6"/>
    <w:rsid w:val="00382FBA"/>
    <w:rsid w:val="0038322F"/>
    <w:rsid w:val="003834A4"/>
    <w:rsid w:val="00383B0D"/>
    <w:rsid w:val="00383B1E"/>
    <w:rsid w:val="00383BC3"/>
    <w:rsid w:val="00383BCB"/>
    <w:rsid w:val="00383C0E"/>
    <w:rsid w:val="0038417F"/>
    <w:rsid w:val="003841B6"/>
    <w:rsid w:val="003841F9"/>
    <w:rsid w:val="0038422A"/>
    <w:rsid w:val="003849B4"/>
    <w:rsid w:val="003849CD"/>
    <w:rsid w:val="003849CE"/>
    <w:rsid w:val="00384A45"/>
    <w:rsid w:val="00384D8B"/>
    <w:rsid w:val="00385259"/>
    <w:rsid w:val="003855A0"/>
    <w:rsid w:val="0038579D"/>
    <w:rsid w:val="00385D90"/>
    <w:rsid w:val="00385FEC"/>
    <w:rsid w:val="003861D1"/>
    <w:rsid w:val="003861DB"/>
    <w:rsid w:val="0038622A"/>
    <w:rsid w:val="003862E0"/>
    <w:rsid w:val="00386333"/>
    <w:rsid w:val="00386566"/>
    <w:rsid w:val="00386632"/>
    <w:rsid w:val="00386851"/>
    <w:rsid w:val="00386A22"/>
    <w:rsid w:val="00386D10"/>
    <w:rsid w:val="00387027"/>
    <w:rsid w:val="00387265"/>
    <w:rsid w:val="003875ED"/>
    <w:rsid w:val="00387715"/>
    <w:rsid w:val="00387757"/>
    <w:rsid w:val="00387770"/>
    <w:rsid w:val="00387776"/>
    <w:rsid w:val="00387E14"/>
    <w:rsid w:val="00387E66"/>
    <w:rsid w:val="00387F14"/>
    <w:rsid w:val="003902B1"/>
    <w:rsid w:val="003902B7"/>
    <w:rsid w:val="00390794"/>
    <w:rsid w:val="00390A31"/>
    <w:rsid w:val="00390B90"/>
    <w:rsid w:val="00390BFD"/>
    <w:rsid w:val="00390F69"/>
    <w:rsid w:val="00391180"/>
    <w:rsid w:val="00391565"/>
    <w:rsid w:val="00391A30"/>
    <w:rsid w:val="00391FDE"/>
    <w:rsid w:val="003920EE"/>
    <w:rsid w:val="0039226B"/>
    <w:rsid w:val="0039244D"/>
    <w:rsid w:val="003925B7"/>
    <w:rsid w:val="00392698"/>
    <w:rsid w:val="00392A49"/>
    <w:rsid w:val="00392D1B"/>
    <w:rsid w:val="003932B3"/>
    <w:rsid w:val="00393424"/>
    <w:rsid w:val="0039346A"/>
    <w:rsid w:val="003934A1"/>
    <w:rsid w:val="0039369C"/>
    <w:rsid w:val="00393C64"/>
    <w:rsid w:val="00393E8A"/>
    <w:rsid w:val="003941F5"/>
    <w:rsid w:val="0039461F"/>
    <w:rsid w:val="00394674"/>
    <w:rsid w:val="003947B5"/>
    <w:rsid w:val="003948E4"/>
    <w:rsid w:val="00394996"/>
    <w:rsid w:val="00394A8A"/>
    <w:rsid w:val="00394AE5"/>
    <w:rsid w:val="00394C62"/>
    <w:rsid w:val="00394D52"/>
    <w:rsid w:val="00394D8F"/>
    <w:rsid w:val="00394EB3"/>
    <w:rsid w:val="00394EED"/>
    <w:rsid w:val="00395635"/>
    <w:rsid w:val="00395C0C"/>
    <w:rsid w:val="00395E1C"/>
    <w:rsid w:val="00396293"/>
    <w:rsid w:val="003963D5"/>
    <w:rsid w:val="00396409"/>
    <w:rsid w:val="00396634"/>
    <w:rsid w:val="003968C5"/>
    <w:rsid w:val="00396A56"/>
    <w:rsid w:val="00396D0F"/>
    <w:rsid w:val="00396F0F"/>
    <w:rsid w:val="00396F97"/>
    <w:rsid w:val="003970AC"/>
    <w:rsid w:val="0039712E"/>
    <w:rsid w:val="003973C2"/>
    <w:rsid w:val="0039745B"/>
    <w:rsid w:val="00397568"/>
    <w:rsid w:val="0039777C"/>
    <w:rsid w:val="00397817"/>
    <w:rsid w:val="00397AE1"/>
    <w:rsid w:val="00397B37"/>
    <w:rsid w:val="00397F29"/>
    <w:rsid w:val="003A001E"/>
    <w:rsid w:val="003A0366"/>
    <w:rsid w:val="003A07E0"/>
    <w:rsid w:val="003A09DB"/>
    <w:rsid w:val="003A0A42"/>
    <w:rsid w:val="003A0C61"/>
    <w:rsid w:val="003A0E2F"/>
    <w:rsid w:val="003A0FD3"/>
    <w:rsid w:val="003A117F"/>
    <w:rsid w:val="003A1328"/>
    <w:rsid w:val="003A1501"/>
    <w:rsid w:val="003A1584"/>
    <w:rsid w:val="003A180C"/>
    <w:rsid w:val="003A1ABA"/>
    <w:rsid w:val="003A1AEE"/>
    <w:rsid w:val="003A1B30"/>
    <w:rsid w:val="003A1E85"/>
    <w:rsid w:val="003A1FEB"/>
    <w:rsid w:val="003A27EF"/>
    <w:rsid w:val="003A287E"/>
    <w:rsid w:val="003A2883"/>
    <w:rsid w:val="003A2915"/>
    <w:rsid w:val="003A29C5"/>
    <w:rsid w:val="003A2A47"/>
    <w:rsid w:val="003A2B8B"/>
    <w:rsid w:val="003A2B99"/>
    <w:rsid w:val="003A2C8C"/>
    <w:rsid w:val="003A2DD8"/>
    <w:rsid w:val="003A2DF9"/>
    <w:rsid w:val="003A2E5D"/>
    <w:rsid w:val="003A2EE7"/>
    <w:rsid w:val="003A2FCD"/>
    <w:rsid w:val="003A31C0"/>
    <w:rsid w:val="003A321C"/>
    <w:rsid w:val="003A3387"/>
    <w:rsid w:val="003A3392"/>
    <w:rsid w:val="003A34F1"/>
    <w:rsid w:val="003A3608"/>
    <w:rsid w:val="003A368B"/>
    <w:rsid w:val="003A3785"/>
    <w:rsid w:val="003A393A"/>
    <w:rsid w:val="003A3952"/>
    <w:rsid w:val="003A39B3"/>
    <w:rsid w:val="003A3AD0"/>
    <w:rsid w:val="003A3D48"/>
    <w:rsid w:val="003A3DD6"/>
    <w:rsid w:val="003A3E2A"/>
    <w:rsid w:val="003A3EAA"/>
    <w:rsid w:val="003A436A"/>
    <w:rsid w:val="003A43E8"/>
    <w:rsid w:val="003A45D1"/>
    <w:rsid w:val="003A464D"/>
    <w:rsid w:val="003A46A0"/>
    <w:rsid w:val="003A4C15"/>
    <w:rsid w:val="003A4C26"/>
    <w:rsid w:val="003A4CA4"/>
    <w:rsid w:val="003A4CDE"/>
    <w:rsid w:val="003A4E63"/>
    <w:rsid w:val="003A51BE"/>
    <w:rsid w:val="003A51FC"/>
    <w:rsid w:val="003A5285"/>
    <w:rsid w:val="003A532F"/>
    <w:rsid w:val="003A534F"/>
    <w:rsid w:val="003A5494"/>
    <w:rsid w:val="003A5502"/>
    <w:rsid w:val="003A59B5"/>
    <w:rsid w:val="003A5A10"/>
    <w:rsid w:val="003A5A78"/>
    <w:rsid w:val="003A5EC6"/>
    <w:rsid w:val="003A5FE3"/>
    <w:rsid w:val="003A6174"/>
    <w:rsid w:val="003A61B0"/>
    <w:rsid w:val="003A627D"/>
    <w:rsid w:val="003A67EB"/>
    <w:rsid w:val="003A694B"/>
    <w:rsid w:val="003A6ED2"/>
    <w:rsid w:val="003A7237"/>
    <w:rsid w:val="003A734D"/>
    <w:rsid w:val="003A7443"/>
    <w:rsid w:val="003A7476"/>
    <w:rsid w:val="003A754A"/>
    <w:rsid w:val="003A7887"/>
    <w:rsid w:val="003A78DF"/>
    <w:rsid w:val="003A79F0"/>
    <w:rsid w:val="003A7A47"/>
    <w:rsid w:val="003A7BA7"/>
    <w:rsid w:val="003A7C7B"/>
    <w:rsid w:val="003A7ECD"/>
    <w:rsid w:val="003A7F76"/>
    <w:rsid w:val="003B02CC"/>
    <w:rsid w:val="003B03F5"/>
    <w:rsid w:val="003B052F"/>
    <w:rsid w:val="003B0573"/>
    <w:rsid w:val="003B05AC"/>
    <w:rsid w:val="003B0644"/>
    <w:rsid w:val="003B0790"/>
    <w:rsid w:val="003B0EE3"/>
    <w:rsid w:val="003B0F9D"/>
    <w:rsid w:val="003B1033"/>
    <w:rsid w:val="003B131D"/>
    <w:rsid w:val="003B19BE"/>
    <w:rsid w:val="003B1A3D"/>
    <w:rsid w:val="003B1BF1"/>
    <w:rsid w:val="003B1CF2"/>
    <w:rsid w:val="003B1CF8"/>
    <w:rsid w:val="003B1DA3"/>
    <w:rsid w:val="003B2006"/>
    <w:rsid w:val="003B21A8"/>
    <w:rsid w:val="003B2255"/>
    <w:rsid w:val="003B2721"/>
    <w:rsid w:val="003B2CFE"/>
    <w:rsid w:val="003B2E7A"/>
    <w:rsid w:val="003B3025"/>
    <w:rsid w:val="003B3143"/>
    <w:rsid w:val="003B3181"/>
    <w:rsid w:val="003B35D2"/>
    <w:rsid w:val="003B36D0"/>
    <w:rsid w:val="003B37BF"/>
    <w:rsid w:val="003B3B51"/>
    <w:rsid w:val="003B3ED8"/>
    <w:rsid w:val="003B409D"/>
    <w:rsid w:val="003B4327"/>
    <w:rsid w:val="003B4841"/>
    <w:rsid w:val="003B49AA"/>
    <w:rsid w:val="003B4EF0"/>
    <w:rsid w:val="003B500B"/>
    <w:rsid w:val="003B5055"/>
    <w:rsid w:val="003B5329"/>
    <w:rsid w:val="003B532A"/>
    <w:rsid w:val="003B5545"/>
    <w:rsid w:val="003B55AD"/>
    <w:rsid w:val="003B56C9"/>
    <w:rsid w:val="003B5827"/>
    <w:rsid w:val="003B5F62"/>
    <w:rsid w:val="003B613C"/>
    <w:rsid w:val="003B62A4"/>
    <w:rsid w:val="003B6556"/>
    <w:rsid w:val="003B663F"/>
    <w:rsid w:val="003B6D14"/>
    <w:rsid w:val="003B6E18"/>
    <w:rsid w:val="003B6F60"/>
    <w:rsid w:val="003B6F89"/>
    <w:rsid w:val="003B70B8"/>
    <w:rsid w:val="003B783F"/>
    <w:rsid w:val="003B78EA"/>
    <w:rsid w:val="003B791F"/>
    <w:rsid w:val="003B79D7"/>
    <w:rsid w:val="003B7A6E"/>
    <w:rsid w:val="003B7C8A"/>
    <w:rsid w:val="003B7EE4"/>
    <w:rsid w:val="003C041C"/>
    <w:rsid w:val="003C0426"/>
    <w:rsid w:val="003C070F"/>
    <w:rsid w:val="003C07EB"/>
    <w:rsid w:val="003C0B8A"/>
    <w:rsid w:val="003C0BC7"/>
    <w:rsid w:val="003C0BD9"/>
    <w:rsid w:val="003C0F21"/>
    <w:rsid w:val="003C11AF"/>
    <w:rsid w:val="003C12C4"/>
    <w:rsid w:val="003C15CE"/>
    <w:rsid w:val="003C166D"/>
    <w:rsid w:val="003C18BA"/>
    <w:rsid w:val="003C18DD"/>
    <w:rsid w:val="003C19E7"/>
    <w:rsid w:val="003C1E5D"/>
    <w:rsid w:val="003C1EB9"/>
    <w:rsid w:val="003C20D5"/>
    <w:rsid w:val="003C21DE"/>
    <w:rsid w:val="003C26E5"/>
    <w:rsid w:val="003C2981"/>
    <w:rsid w:val="003C2AAF"/>
    <w:rsid w:val="003C2DB9"/>
    <w:rsid w:val="003C2E32"/>
    <w:rsid w:val="003C33EE"/>
    <w:rsid w:val="003C342A"/>
    <w:rsid w:val="003C351D"/>
    <w:rsid w:val="003C3596"/>
    <w:rsid w:val="003C359E"/>
    <w:rsid w:val="003C360A"/>
    <w:rsid w:val="003C38A1"/>
    <w:rsid w:val="003C399E"/>
    <w:rsid w:val="003C3A7E"/>
    <w:rsid w:val="003C3E9A"/>
    <w:rsid w:val="003C4545"/>
    <w:rsid w:val="003C461E"/>
    <w:rsid w:val="003C470A"/>
    <w:rsid w:val="003C4A8F"/>
    <w:rsid w:val="003C4ACE"/>
    <w:rsid w:val="003C4C49"/>
    <w:rsid w:val="003C4D84"/>
    <w:rsid w:val="003C4DFA"/>
    <w:rsid w:val="003C4F65"/>
    <w:rsid w:val="003C4FBD"/>
    <w:rsid w:val="003C50F9"/>
    <w:rsid w:val="003C540F"/>
    <w:rsid w:val="003C5547"/>
    <w:rsid w:val="003C5559"/>
    <w:rsid w:val="003C559D"/>
    <w:rsid w:val="003C5617"/>
    <w:rsid w:val="003C56EE"/>
    <w:rsid w:val="003C5A2F"/>
    <w:rsid w:val="003C5C09"/>
    <w:rsid w:val="003C5C1C"/>
    <w:rsid w:val="003C5CD5"/>
    <w:rsid w:val="003C5E2E"/>
    <w:rsid w:val="003C6117"/>
    <w:rsid w:val="003C61C3"/>
    <w:rsid w:val="003C6466"/>
    <w:rsid w:val="003C6666"/>
    <w:rsid w:val="003C6735"/>
    <w:rsid w:val="003C6791"/>
    <w:rsid w:val="003C68A1"/>
    <w:rsid w:val="003C6944"/>
    <w:rsid w:val="003C6B62"/>
    <w:rsid w:val="003C6C2A"/>
    <w:rsid w:val="003C6F13"/>
    <w:rsid w:val="003C704F"/>
    <w:rsid w:val="003C70C7"/>
    <w:rsid w:val="003C7207"/>
    <w:rsid w:val="003C7228"/>
    <w:rsid w:val="003C72DA"/>
    <w:rsid w:val="003C72FC"/>
    <w:rsid w:val="003C7427"/>
    <w:rsid w:val="003C753B"/>
    <w:rsid w:val="003C7646"/>
    <w:rsid w:val="003C7759"/>
    <w:rsid w:val="003C7854"/>
    <w:rsid w:val="003C78AE"/>
    <w:rsid w:val="003C7AE7"/>
    <w:rsid w:val="003C7BAD"/>
    <w:rsid w:val="003D0152"/>
    <w:rsid w:val="003D01D0"/>
    <w:rsid w:val="003D0277"/>
    <w:rsid w:val="003D0463"/>
    <w:rsid w:val="003D080A"/>
    <w:rsid w:val="003D0855"/>
    <w:rsid w:val="003D0B02"/>
    <w:rsid w:val="003D0B82"/>
    <w:rsid w:val="003D12AD"/>
    <w:rsid w:val="003D17ED"/>
    <w:rsid w:val="003D1A48"/>
    <w:rsid w:val="003D1B54"/>
    <w:rsid w:val="003D1B67"/>
    <w:rsid w:val="003D1D57"/>
    <w:rsid w:val="003D1DEB"/>
    <w:rsid w:val="003D1F99"/>
    <w:rsid w:val="003D2024"/>
    <w:rsid w:val="003D2522"/>
    <w:rsid w:val="003D2558"/>
    <w:rsid w:val="003D279A"/>
    <w:rsid w:val="003D2A83"/>
    <w:rsid w:val="003D2B83"/>
    <w:rsid w:val="003D2C98"/>
    <w:rsid w:val="003D3208"/>
    <w:rsid w:val="003D3619"/>
    <w:rsid w:val="003D37EC"/>
    <w:rsid w:val="003D3925"/>
    <w:rsid w:val="003D39A2"/>
    <w:rsid w:val="003D39BB"/>
    <w:rsid w:val="003D3B90"/>
    <w:rsid w:val="003D3E11"/>
    <w:rsid w:val="003D3EFA"/>
    <w:rsid w:val="003D421F"/>
    <w:rsid w:val="003D4627"/>
    <w:rsid w:val="003D4695"/>
    <w:rsid w:val="003D46D0"/>
    <w:rsid w:val="003D46F4"/>
    <w:rsid w:val="003D4882"/>
    <w:rsid w:val="003D4931"/>
    <w:rsid w:val="003D4D4F"/>
    <w:rsid w:val="003D4FD5"/>
    <w:rsid w:val="003D52D6"/>
    <w:rsid w:val="003D53A2"/>
    <w:rsid w:val="003D54A0"/>
    <w:rsid w:val="003D556B"/>
    <w:rsid w:val="003D55BF"/>
    <w:rsid w:val="003D5739"/>
    <w:rsid w:val="003D5A16"/>
    <w:rsid w:val="003D5A8B"/>
    <w:rsid w:val="003D5AD6"/>
    <w:rsid w:val="003D5C23"/>
    <w:rsid w:val="003D5D0E"/>
    <w:rsid w:val="003D5DEF"/>
    <w:rsid w:val="003D5E7D"/>
    <w:rsid w:val="003D5EAF"/>
    <w:rsid w:val="003D6057"/>
    <w:rsid w:val="003D6274"/>
    <w:rsid w:val="003D629E"/>
    <w:rsid w:val="003D662B"/>
    <w:rsid w:val="003D679D"/>
    <w:rsid w:val="003D6968"/>
    <w:rsid w:val="003D6A21"/>
    <w:rsid w:val="003D6C51"/>
    <w:rsid w:val="003D6DD7"/>
    <w:rsid w:val="003D6F5F"/>
    <w:rsid w:val="003D7149"/>
    <w:rsid w:val="003D74AC"/>
    <w:rsid w:val="003D7A39"/>
    <w:rsid w:val="003D7AA1"/>
    <w:rsid w:val="003D7ADA"/>
    <w:rsid w:val="003D7CEA"/>
    <w:rsid w:val="003E03F2"/>
    <w:rsid w:val="003E04DB"/>
    <w:rsid w:val="003E0672"/>
    <w:rsid w:val="003E082D"/>
    <w:rsid w:val="003E0A7E"/>
    <w:rsid w:val="003E0CE0"/>
    <w:rsid w:val="003E0F66"/>
    <w:rsid w:val="003E0FA2"/>
    <w:rsid w:val="003E1047"/>
    <w:rsid w:val="003E11F0"/>
    <w:rsid w:val="003E134E"/>
    <w:rsid w:val="003E1387"/>
    <w:rsid w:val="003E1528"/>
    <w:rsid w:val="003E15EE"/>
    <w:rsid w:val="003E1829"/>
    <w:rsid w:val="003E190A"/>
    <w:rsid w:val="003E1911"/>
    <w:rsid w:val="003E1922"/>
    <w:rsid w:val="003E19A7"/>
    <w:rsid w:val="003E1AEA"/>
    <w:rsid w:val="003E1BB5"/>
    <w:rsid w:val="003E1BFD"/>
    <w:rsid w:val="003E1DA7"/>
    <w:rsid w:val="003E2028"/>
    <w:rsid w:val="003E21B2"/>
    <w:rsid w:val="003E223A"/>
    <w:rsid w:val="003E23BB"/>
    <w:rsid w:val="003E283A"/>
    <w:rsid w:val="003E28AE"/>
    <w:rsid w:val="003E2992"/>
    <w:rsid w:val="003E2AE0"/>
    <w:rsid w:val="003E2C20"/>
    <w:rsid w:val="003E2F0B"/>
    <w:rsid w:val="003E323A"/>
    <w:rsid w:val="003E344B"/>
    <w:rsid w:val="003E349A"/>
    <w:rsid w:val="003E34EF"/>
    <w:rsid w:val="003E3740"/>
    <w:rsid w:val="003E3771"/>
    <w:rsid w:val="003E3861"/>
    <w:rsid w:val="003E3D1B"/>
    <w:rsid w:val="003E3E9A"/>
    <w:rsid w:val="003E4074"/>
    <w:rsid w:val="003E407C"/>
    <w:rsid w:val="003E411B"/>
    <w:rsid w:val="003E4404"/>
    <w:rsid w:val="003E4637"/>
    <w:rsid w:val="003E48EC"/>
    <w:rsid w:val="003E4ABB"/>
    <w:rsid w:val="003E4ECB"/>
    <w:rsid w:val="003E4F66"/>
    <w:rsid w:val="003E5203"/>
    <w:rsid w:val="003E5209"/>
    <w:rsid w:val="003E56EE"/>
    <w:rsid w:val="003E5940"/>
    <w:rsid w:val="003E5C47"/>
    <w:rsid w:val="003E5C64"/>
    <w:rsid w:val="003E5CCC"/>
    <w:rsid w:val="003E5DF0"/>
    <w:rsid w:val="003E5FE5"/>
    <w:rsid w:val="003E602E"/>
    <w:rsid w:val="003E603E"/>
    <w:rsid w:val="003E6341"/>
    <w:rsid w:val="003E6344"/>
    <w:rsid w:val="003E6533"/>
    <w:rsid w:val="003E6619"/>
    <w:rsid w:val="003E67A5"/>
    <w:rsid w:val="003E687A"/>
    <w:rsid w:val="003E687F"/>
    <w:rsid w:val="003E6E22"/>
    <w:rsid w:val="003E70C3"/>
    <w:rsid w:val="003E70E8"/>
    <w:rsid w:val="003E7563"/>
    <w:rsid w:val="003E789D"/>
    <w:rsid w:val="003E7BD6"/>
    <w:rsid w:val="003E7CDF"/>
    <w:rsid w:val="003F0095"/>
    <w:rsid w:val="003F029E"/>
    <w:rsid w:val="003F061B"/>
    <w:rsid w:val="003F07E1"/>
    <w:rsid w:val="003F0856"/>
    <w:rsid w:val="003F0A66"/>
    <w:rsid w:val="003F0CD0"/>
    <w:rsid w:val="003F0DB3"/>
    <w:rsid w:val="003F0E76"/>
    <w:rsid w:val="003F0EA5"/>
    <w:rsid w:val="003F116F"/>
    <w:rsid w:val="003F1257"/>
    <w:rsid w:val="003F18CF"/>
    <w:rsid w:val="003F1A29"/>
    <w:rsid w:val="003F1F4D"/>
    <w:rsid w:val="003F2015"/>
    <w:rsid w:val="003F223F"/>
    <w:rsid w:val="003F238C"/>
    <w:rsid w:val="003F2417"/>
    <w:rsid w:val="003F26D9"/>
    <w:rsid w:val="003F2931"/>
    <w:rsid w:val="003F29E0"/>
    <w:rsid w:val="003F2EA8"/>
    <w:rsid w:val="003F2F55"/>
    <w:rsid w:val="003F2FC2"/>
    <w:rsid w:val="003F2FD6"/>
    <w:rsid w:val="003F304D"/>
    <w:rsid w:val="003F3310"/>
    <w:rsid w:val="003F3B57"/>
    <w:rsid w:val="003F3D50"/>
    <w:rsid w:val="003F3E4B"/>
    <w:rsid w:val="003F46AD"/>
    <w:rsid w:val="003F4720"/>
    <w:rsid w:val="003F4B25"/>
    <w:rsid w:val="003F4CEE"/>
    <w:rsid w:val="003F4F46"/>
    <w:rsid w:val="003F5106"/>
    <w:rsid w:val="003F5425"/>
    <w:rsid w:val="003F5749"/>
    <w:rsid w:val="003F5A9D"/>
    <w:rsid w:val="003F5E58"/>
    <w:rsid w:val="003F60EA"/>
    <w:rsid w:val="003F6197"/>
    <w:rsid w:val="003F6911"/>
    <w:rsid w:val="003F698A"/>
    <w:rsid w:val="003F728F"/>
    <w:rsid w:val="003F7359"/>
    <w:rsid w:val="003F7636"/>
    <w:rsid w:val="003F78C1"/>
    <w:rsid w:val="003F7986"/>
    <w:rsid w:val="004000AB"/>
    <w:rsid w:val="0040024A"/>
    <w:rsid w:val="00400288"/>
    <w:rsid w:val="00400462"/>
    <w:rsid w:val="0040063D"/>
    <w:rsid w:val="004007EA"/>
    <w:rsid w:val="00400837"/>
    <w:rsid w:val="00400B60"/>
    <w:rsid w:val="00400E30"/>
    <w:rsid w:val="0040108A"/>
    <w:rsid w:val="0040144B"/>
    <w:rsid w:val="004015BD"/>
    <w:rsid w:val="0040160A"/>
    <w:rsid w:val="00401888"/>
    <w:rsid w:val="00401AB9"/>
    <w:rsid w:val="00401C6B"/>
    <w:rsid w:val="0040205B"/>
    <w:rsid w:val="0040245E"/>
    <w:rsid w:val="004028D9"/>
    <w:rsid w:val="00402977"/>
    <w:rsid w:val="00402A84"/>
    <w:rsid w:val="00402B92"/>
    <w:rsid w:val="00402D58"/>
    <w:rsid w:val="00403146"/>
    <w:rsid w:val="00403474"/>
    <w:rsid w:val="00403504"/>
    <w:rsid w:val="004038C5"/>
    <w:rsid w:val="004039C0"/>
    <w:rsid w:val="00403EAD"/>
    <w:rsid w:val="00404308"/>
    <w:rsid w:val="0040443F"/>
    <w:rsid w:val="00404576"/>
    <w:rsid w:val="004046C8"/>
    <w:rsid w:val="0040489F"/>
    <w:rsid w:val="00404AEC"/>
    <w:rsid w:val="00404B6B"/>
    <w:rsid w:val="00404C72"/>
    <w:rsid w:val="00404F64"/>
    <w:rsid w:val="004053F5"/>
    <w:rsid w:val="004054E2"/>
    <w:rsid w:val="00405540"/>
    <w:rsid w:val="004055EA"/>
    <w:rsid w:val="00405682"/>
    <w:rsid w:val="00405787"/>
    <w:rsid w:val="004058DF"/>
    <w:rsid w:val="00405C5A"/>
    <w:rsid w:val="0040621F"/>
    <w:rsid w:val="0040640E"/>
    <w:rsid w:val="00406484"/>
    <w:rsid w:val="00406573"/>
    <w:rsid w:val="00406A15"/>
    <w:rsid w:val="00406F3E"/>
    <w:rsid w:val="004072C1"/>
    <w:rsid w:val="0040739D"/>
    <w:rsid w:val="004074D6"/>
    <w:rsid w:val="0040763E"/>
    <w:rsid w:val="004076E0"/>
    <w:rsid w:val="00407961"/>
    <w:rsid w:val="00407C8A"/>
    <w:rsid w:val="00407D32"/>
    <w:rsid w:val="00407FC2"/>
    <w:rsid w:val="00407FF9"/>
    <w:rsid w:val="0041015D"/>
    <w:rsid w:val="00410332"/>
    <w:rsid w:val="0041035F"/>
    <w:rsid w:val="00410981"/>
    <w:rsid w:val="00410B2F"/>
    <w:rsid w:val="00410BA0"/>
    <w:rsid w:val="00410CDB"/>
    <w:rsid w:val="00410FF2"/>
    <w:rsid w:val="00411019"/>
    <w:rsid w:val="0041116F"/>
    <w:rsid w:val="00411180"/>
    <w:rsid w:val="004118D2"/>
    <w:rsid w:val="00411A33"/>
    <w:rsid w:val="00411C22"/>
    <w:rsid w:val="00411C39"/>
    <w:rsid w:val="00412151"/>
    <w:rsid w:val="004122C0"/>
    <w:rsid w:val="004123D1"/>
    <w:rsid w:val="004124F8"/>
    <w:rsid w:val="004125EA"/>
    <w:rsid w:val="004129EC"/>
    <w:rsid w:val="00412CA5"/>
    <w:rsid w:val="00412EE0"/>
    <w:rsid w:val="00413035"/>
    <w:rsid w:val="0041323F"/>
    <w:rsid w:val="00413505"/>
    <w:rsid w:val="004137B3"/>
    <w:rsid w:val="00413AF8"/>
    <w:rsid w:val="00413C5C"/>
    <w:rsid w:val="00413D35"/>
    <w:rsid w:val="00413D36"/>
    <w:rsid w:val="004141CE"/>
    <w:rsid w:val="00414431"/>
    <w:rsid w:val="00414701"/>
    <w:rsid w:val="00414775"/>
    <w:rsid w:val="00414D1F"/>
    <w:rsid w:val="00414E30"/>
    <w:rsid w:val="00414F5E"/>
    <w:rsid w:val="00414F68"/>
    <w:rsid w:val="00415340"/>
    <w:rsid w:val="004155DE"/>
    <w:rsid w:val="00415A8C"/>
    <w:rsid w:val="00415F75"/>
    <w:rsid w:val="004160B7"/>
    <w:rsid w:val="00416313"/>
    <w:rsid w:val="00416378"/>
    <w:rsid w:val="0041645C"/>
    <w:rsid w:val="004164A2"/>
    <w:rsid w:val="004164E0"/>
    <w:rsid w:val="004167C0"/>
    <w:rsid w:val="00416858"/>
    <w:rsid w:val="00416A32"/>
    <w:rsid w:val="00416B07"/>
    <w:rsid w:val="00416C14"/>
    <w:rsid w:val="00416DE5"/>
    <w:rsid w:val="00416E69"/>
    <w:rsid w:val="00416FDE"/>
    <w:rsid w:val="0041753C"/>
    <w:rsid w:val="0041764B"/>
    <w:rsid w:val="004176E7"/>
    <w:rsid w:val="00417A4F"/>
    <w:rsid w:val="00417BF9"/>
    <w:rsid w:val="00417C71"/>
    <w:rsid w:val="00417DD6"/>
    <w:rsid w:val="0042008A"/>
    <w:rsid w:val="0042021E"/>
    <w:rsid w:val="0042022F"/>
    <w:rsid w:val="0042040F"/>
    <w:rsid w:val="004204E9"/>
    <w:rsid w:val="00420739"/>
    <w:rsid w:val="004209AB"/>
    <w:rsid w:val="00420A40"/>
    <w:rsid w:val="00420C11"/>
    <w:rsid w:val="00420D05"/>
    <w:rsid w:val="00420F19"/>
    <w:rsid w:val="0042122C"/>
    <w:rsid w:val="00421282"/>
    <w:rsid w:val="004215E5"/>
    <w:rsid w:val="00421BBB"/>
    <w:rsid w:val="00421F22"/>
    <w:rsid w:val="00422090"/>
    <w:rsid w:val="00422272"/>
    <w:rsid w:val="0042243B"/>
    <w:rsid w:val="00422699"/>
    <w:rsid w:val="00422772"/>
    <w:rsid w:val="0042285A"/>
    <w:rsid w:val="00422A22"/>
    <w:rsid w:val="00422A69"/>
    <w:rsid w:val="00422BB1"/>
    <w:rsid w:val="00422BBA"/>
    <w:rsid w:val="00422BF5"/>
    <w:rsid w:val="00422D8B"/>
    <w:rsid w:val="004231EC"/>
    <w:rsid w:val="004235D8"/>
    <w:rsid w:val="00423750"/>
    <w:rsid w:val="00423932"/>
    <w:rsid w:val="00423BE5"/>
    <w:rsid w:val="00423D1E"/>
    <w:rsid w:val="00423D38"/>
    <w:rsid w:val="00423DCA"/>
    <w:rsid w:val="00423E61"/>
    <w:rsid w:val="00423ED8"/>
    <w:rsid w:val="00423F06"/>
    <w:rsid w:val="004240C3"/>
    <w:rsid w:val="00424830"/>
    <w:rsid w:val="00424934"/>
    <w:rsid w:val="00424B95"/>
    <w:rsid w:val="00424FD7"/>
    <w:rsid w:val="0042507E"/>
    <w:rsid w:val="0042518F"/>
    <w:rsid w:val="00425298"/>
    <w:rsid w:val="0042536E"/>
    <w:rsid w:val="004253EC"/>
    <w:rsid w:val="004255E9"/>
    <w:rsid w:val="00425656"/>
    <w:rsid w:val="0042579C"/>
    <w:rsid w:val="00425886"/>
    <w:rsid w:val="00425911"/>
    <w:rsid w:val="00425D69"/>
    <w:rsid w:val="00425E0E"/>
    <w:rsid w:val="00425F2F"/>
    <w:rsid w:val="004261E3"/>
    <w:rsid w:val="0042647C"/>
    <w:rsid w:val="004268AD"/>
    <w:rsid w:val="004268B6"/>
    <w:rsid w:val="00426A35"/>
    <w:rsid w:val="00426B75"/>
    <w:rsid w:val="00426D19"/>
    <w:rsid w:val="00426E2B"/>
    <w:rsid w:val="00426EEA"/>
    <w:rsid w:val="0042702F"/>
    <w:rsid w:val="004273CD"/>
    <w:rsid w:val="0042742C"/>
    <w:rsid w:val="00427872"/>
    <w:rsid w:val="00427AD7"/>
    <w:rsid w:val="00427B18"/>
    <w:rsid w:val="00427C33"/>
    <w:rsid w:val="00427CFE"/>
    <w:rsid w:val="00427E2E"/>
    <w:rsid w:val="004301CE"/>
    <w:rsid w:val="0043040C"/>
    <w:rsid w:val="004304E0"/>
    <w:rsid w:val="004306A1"/>
    <w:rsid w:val="004307DB"/>
    <w:rsid w:val="0043098F"/>
    <w:rsid w:val="00430AEE"/>
    <w:rsid w:val="00430D20"/>
    <w:rsid w:val="00430D98"/>
    <w:rsid w:val="00430FFD"/>
    <w:rsid w:val="004314A5"/>
    <w:rsid w:val="004315A8"/>
    <w:rsid w:val="00431624"/>
    <w:rsid w:val="00431633"/>
    <w:rsid w:val="004316F0"/>
    <w:rsid w:val="00431780"/>
    <w:rsid w:val="004317B1"/>
    <w:rsid w:val="00431921"/>
    <w:rsid w:val="004319CA"/>
    <w:rsid w:val="00431B34"/>
    <w:rsid w:val="00431BD0"/>
    <w:rsid w:val="00431D1E"/>
    <w:rsid w:val="00431E2C"/>
    <w:rsid w:val="0043219A"/>
    <w:rsid w:val="004322F6"/>
    <w:rsid w:val="00432657"/>
    <w:rsid w:val="00432978"/>
    <w:rsid w:val="00432D37"/>
    <w:rsid w:val="00432D8E"/>
    <w:rsid w:val="00432DED"/>
    <w:rsid w:val="00432FB4"/>
    <w:rsid w:val="00432FBF"/>
    <w:rsid w:val="004331CB"/>
    <w:rsid w:val="0043327B"/>
    <w:rsid w:val="00433441"/>
    <w:rsid w:val="0043385C"/>
    <w:rsid w:val="00433B3A"/>
    <w:rsid w:val="00433B5C"/>
    <w:rsid w:val="00433EFB"/>
    <w:rsid w:val="004342CB"/>
    <w:rsid w:val="004343C1"/>
    <w:rsid w:val="004345F6"/>
    <w:rsid w:val="00434677"/>
    <w:rsid w:val="004346FA"/>
    <w:rsid w:val="004347C0"/>
    <w:rsid w:val="0043499D"/>
    <w:rsid w:val="004349E3"/>
    <w:rsid w:val="00434A60"/>
    <w:rsid w:val="00434C29"/>
    <w:rsid w:val="00434CA4"/>
    <w:rsid w:val="00434EC6"/>
    <w:rsid w:val="00434ECD"/>
    <w:rsid w:val="00434ED8"/>
    <w:rsid w:val="00434FD4"/>
    <w:rsid w:val="00435336"/>
    <w:rsid w:val="004354F7"/>
    <w:rsid w:val="0043550E"/>
    <w:rsid w:val="0043572A"/>
    <w:rsid w:val="004357E1"/>
    <w:rsid w:val="00435E30"/>
    <w:rsid w:val="004360D9"/>
    <w:rsid w:val="00436197"/>
    <w:rsid w:val="00436287"/>
    <w:rsid w:val="004363FF"/>
    <w:rsid w:val="004364E7"/>
    <w:rsid w:val="00436628"/>
    <w:rsid w:val="00436A73"/>
    <w:rsid w:val="00436C8E"/>
    <w:rsid w:val="004372C3"/>
    <w:rsid w:val="0043733B"/>
    <w:rsid w:val="004376AC"/>
    <w:rsid w:val="0043786F"/>
    <w:rsid w:val="00437D04"/>
    <w:rsid w:val="00440269"/>
    <w:rsid w:val="004402E4"/>
    <w:rsid w:val="004404DB"/>
    <w:rsid w:val="0044086E"/>
    <w:rsid w:val="004409A8"/>
    <w:rsid w:val="00440AC7"/>
    <w:rsid w:val="00440C44"/>
    <w:rsid w:val="00440DB6"/>
    <w:rsid w:val="00440F9B"/>
    <w:rsid w:val="00440FC1"/>
    <w:rsid w:val="00441005"/>
    <w:rsid w:val="00441094"/>
    <w:rsid w:val="004416C0"/>
    <w:rsid w:val="00441881"/>
    <w:rsid w:val="004418A7"/>
    <w:rsid w:val="004419EC"/>
    <w:rsid w:val="00441A48"/>
    <w:rsid w:val="00441D36"/>
    <w:rsid w:val="004421D5"/>
    <w:rsid w:val="00442730"/>
    <w:rsid w:val="004427AA"/>
    <w:rsid w:val="00442838"/>
    <w:rsid w:val="0044295F"/>
    <w:rsid w:val="004429CA"/>
    <w:rsid w:val="00442B2A"/>
    <w:rsid w:val="00443154"/>
    <w:rsid w:val="0044316C"/>
    <w:rsid w:val="00443761"/>
    <w:rsid w:val="00443AF2"/>
    <w:rsid w:val="00443C41"/>
    <w:rsid w:val="00443FE5"/>
    <w:rsid w:val="00444473"/>
    <w:rsid w:val="0044466E"/>
    <w:rsid w:val="004446C6"/>
    <w:rsid w:val="00444738"/>
    <w:rsid w:val="0044477F"/>
    <w:rsid w:val="00444823"/>
    <w:rsid w:val="00445053"/>
    <w:rsid w:val="00445536"/>
    <w:rsid w:val="00445611"/>
    <w:rsid w:val="00445626"/>
    <w:rsid w:val="0044567A"/>
    <w:rsid w:val="00445796"/>
    <w:rsid w:val="00445B74"/>
    <w:rsid w:val="00445BB0"/>
    <w:rsid w:val="00445D8E"/>
    <w:rsid w:val="00445F46"/>
    <w:rsid w:val="004460B5"/>
    <w:rsid w:val="00446168"/>
    <w:rsid w:val="004461AA"/>
    <w:rsid w:val="00446232"/>
    <w:rsid w:val="0044657C"/>
    <w:rsid w:val="004465AC"/>
    <w:rsid w:val="00446682"/>
    <w:rsid w:val="00446795"/>
    <w:rsid w:val="004467B4"/>
    <w:rsid w:val="00446934"/>
    <w:rsid w:val="00446B10"/>
    <w:rsid w:val="00446C3E"/>
    <w:rsid w:val="00446C7D"/>
    <w:rsid w:val="00446CF2"/>
    <w:rsid w:val="00446F26"/>
    <w:rsid w:val="00447008"/>
    <w:rsid w:val="004472A9"/>
    <w:rsid w:val="004472CA"/>
    <w:rsid w:val="00447671"/>
    <w:rsid w:val="00447816"/>
    <w:rsid w:val="00447AAC"/>
    <w:rsid w:val="00447BD0"/>
    <w:rsid w:val="00447D0A"/>
    <w:rsid w:val="0045008D"/>
    <w:rsid w:val="0045021A"/>
    <w:rsid w:val="00450230"/>
    <w:rsid w:val="00450331"/>
    <w:rsid w:val="00450472"/>
    <w:rsid w:val="00450507"/>
    <w:rsid w:val="00450522"/>
    <w:rsid w:val="00450625"/>
    <w:rsid w:val="004508D1"/>
    <w:rsid w:val="0045097E"/>
    <w:rsid w:val="0045099B"/>
    <w:rsid w:val="00450ED6"/>
    <w:rsid w:val="00450F60"/>
    <w:rsid w:val="00450F76"/>
    <w:rsid w:val="00450FAA"/>
    <w:rsid w:val="00451272"/>
    <w:rsid w:val="00451329"/>
    <w:rsid w:val="004513B1"/>
    <w:rsid w:val="004513CC"/>
    <w:rsid w:val="004513E5"/>
    <w:rsid w:val="0045141B"/>
    <w:rsid w:val="00451491"/>
    <w:rsid w:val="0045192F"/>
    <w:rsid w:val="00451C5B"/>
    <w:rsid w:val="0045217C"/>
    <w:rsid w:val="004521A1"/>
    <w:rsid w:val="00452310"/>
    <w:rsid w:val="004523FC"/>
    <w:rsid w:val="00452651"/>
    <w:rsid w:val="0045274B"/>
    <w:rsid w:val="004528E2"/>
    <w:rsid w:val="0045297C"/>
    <w:rsid w:val="004529FD"/>
    <w:rsid w:val="00452C4D"/>
    <w:rsid w:val="00452C97"/>
    <w:rsid w:val="00452D50"/>
    <w:rsid w:val="00452DAB"/>
    <w:rsid w:val="00452FD7"/>
    <w:rsid w:val="00452FFC"/>
    <w:rsid w:val="00453210"/>
    <w:rsid w:val="00453267"/>
    <w:rsid w:val="00453553"/>
    <w:rsid w:val="00453AC1"/>
    <w:rsid w:val="00453BB1"/>
    <w:rsid w:val="00453BBC"/>
    <w:rsid w:val="00453C22"/>
    <w:rsid w:val="00453CA9"/>
    <w:rsid w:val="00453F0D"/>
    <w:rsid w:val="00454173"/>
    <w:rsid w:val="00454537"/>
    <w:rsid w:val="0045459D"/>
    <w:rsid w:val="00454638"/>
    <w:rsid w:val="00454996"/>
    <w:rsid w:val="00454D4D"/>
    <w:rsid w:val="00455341"/>
    <w:rsid w:val="00455E54"/>
    <w:rsid w:val="00455EBC"/>
    <w:rsid w:val="00455FDC"/>
    <w:rsid w:val="004560E3"/>
    <w:rsid w:val="00456249"/>
    <w:rsid w:val="0045643E"/>
    <w:rsid w:val="004564F1"/>
    <w:rsid w:val="00456A3A"/>
    <w:rsid w:val="00456B39"/>
    <w:rsid w:val="00456C67"/>
    <w:rsid w:val="004572CD"/>
    <w:rsid w:val="0045734B"/>
    <w:rsid w:val="004573CC"/>
    <w:rsid w:val="0045752F"/>
    <w:rsid w:val="00457564"/>
    <w:rsid w:val="004575C4"/>
    <w:rsid w:val="004576BD"/>
    <w:rsid w:val="004576CE"/>
    <w:rsid w:val="00457802"/>
    <w:rsid w:val="0045789D"/>
    <w:rsid w:val="00457AB9"/>
    <w:rsid w:val="00457B8C"/>
    <w:rsid w:val="00457C65"/>
    <w:rsid w:val="00457D60"/>
    <w:rsid w:val="00457E78"/>
    <w:rsid w:val="00457E7F"/>
    <w:rsid w:val="00457F9C"/>
    <w:rsid w:val="004600C7"/>
    <w:rsid w:val="00460194"/>
    <w:rsid w:val="004602E7"/>
    <w:rsid w:val="0046060B"/>
    <w:rsid w:val="004607A6"/>
    <w:rsid w:val="004608D7"/>
    <w:rsid w:val="00460965"/>
    <w:rsid w:val="004609B0"/>
    <w:rsid w:val="00460CFE"/>
    <w:rsid w:val="00460D01"/>
    <w:rsid w:val="00461453"/>
    <w:rsid w:val="004615C4"/>
    <w:rsid w:val="00461657"/>
    <w:rsid w:val="004616CE"/>
    <w:rsid w:val="00461731"/>
    <w:rsid w:val="0046190D"/>
    <w:rsid w:val="00461996"/>
    <w:rsid w:val="00461C70"/>
    <w:rsid w:val="00461D52"/>
    <w:rsid w:val="00461E80"/>
    <w:rsid w:val="00461F3C"/>
    <w:rsid w:val="00462083"/>
    <w:rsid w:val="004621DF"/>
    <w:rsid w:val="0046230F"/>
    <w:rsid w:val="0046252A"/>
    <w:rsid w:val="00462B2B"/>
    <w:rsid w:val="00462BA3"/>
    <w:rsid w:val="00462E10"/>
    <w:rsid w:val="00462F14"/>
    <w:rsid w:val="004630E7"/>
    <w:rsid w:val="0046315E"/>
    <w:rsid w:val="00463232"/>
    <w:rsid w:val="0046355A"/>
    <w:rsid w:val="00463561"/>
    <w:rsid w:val="00463C6F"/>
    <w:rsid w:val="00463D73"/>
    <w:rsid w:val="00463D84"/>
    <w:rsid w:val="00463D87"/>
    <w:rsid w:val="00464378"/>
    <w:rsid w:val="00464383"/>
    <w:rsid w:val="0046446C"/>
    <w:rsid w:val="00464570"/>
    <w:rsid w:val="004645BA"/>
    <w:rsid w:val="004645E3"/>
    <w:rsid w:val="00464797"/>
    <w:rsid w:val="00464983"/>
    <w:rsid w:val="004649D7"/>
    <w:rsid w:val="00464AA4"/>
    <w:rsid w:val="00464D64"/>
    <w:rsid w:val="00464DA8"/>
    <w:rsid w:val="00464DF1"/>
    <w:rsid w:val="00464FA9"/>
    <w:rsid w:val="004650C8"/>
    <w:rsid w:val="004653F9"/>
    <w:rsid w:val="004654AA"/>
    <w:rsid w:val="004657AD"/>
    <w:rsid w:val="00465920"/>
    <w:rsid w:val="004659C4"/>
    <w:rsid w:val="00465A75"/>
    <w:rsid w:val="00465CBF"/>
    <w:rsid w:val="00465D77"/>
    <w:rsid w:val="004661F4"/>
    <w:rsid w:val="00466437"/>
    <w:rsid w:val="00466758"/>
    <w:rsid w:val="004667D9"/>
    <w:rsid w:val="00466954"/>
    <w:rsid w:val="0046696D"/>
    <w:rsid w:val="00466C43"/>
    <w:rsid w:val="00466CD0"/>
    <w:rsid w:val="00466EFF"/>
    <w:rsid w:val="00467019"/>
    <w:rsid w:val="00467347"/>
    <w:rsid w:val="004674E2"/>
    <w:rsid w:val="004678F9"/>
    <w:rsid w:val="00467A38"/>
    <w:rsid w:val="00467B74"/>
    <w:rsid w:val="00467F97"/>
    <w:rsid w:val="00470069"/>
    <w:rsid w:val="00470435"/>
    <w:rsid w:val="00470650"/>
    <w:rsid w:val="004707C0"/>
    <w:rsid w:val="004707D5"/>
    <w:rsid w:val="00470967"/>
    <w:rsid w:val="00470A59"/>
    <w:rsid w:val="00470DDB"/>
    <w:rsid w:val="00470DF1"/>
    <w:rsid w:val="00470E84"/>
    <w:rsid w:val="00470EB7"/>
    <w:rsid w:val="00470EF7"/>
    <w:rsid w:val="00470F04"/>
    <w:rsid w:val="00471120"/>
    <w:rsid w:val="00471197"/>
    <w:rsid w:val="004711BA"/>
    <w:rsid w:val="004713B0"/>
    <w:rsid w:val="00471465"/>
    <w:rsid w:val="00471537"/>
    <w:rsid w:val="00471610"/>
    <w:rsid w:val="004716B4"/>
    <w:rsid w:val="004716C4"/>
    <w:rsid w:val="00471763"/>
    <w:rsid w:val="00471817"/>
    <w:rsid w:val="00471897"/>
    <w:rsid w:val="00471982"/>
    <w:rsid w:val="00471AB9"/>
    <w:rsid w:val="00471B17"/>
    <w:rsid w:val="00471CAE"/>
    <w:rsid w:val="00471CFA"/>
    <w:rsid w:val="00472010"/>
    <w:rsid w:val="00472240"/>
    <w:rsid w:val="00472745"/>
    <w:rsid w:val="004728D3"/>
    <w:rsid w:val="00472944"/>
    <w:rsid w:val="0047298A"/>
    <w:rsid w:val="004729A3"/>
    <w:rsid w:val="00472A53"/>
    <w:rsid w:val="00472ADA"/>
    <w:rsid w:val="00472AE5"/>
    <w:rsid w:val="00472BE8"/>
    <w:rsid w:val="00472CDA"/>
    <w:rsid w:val="00472F18"/>
    <w:rsid w:val="004730D1"/>
    <w:rsid w:val="004730FE"/>
    <w:rsid w:val="0047333B"/>
    <w:rsid w:val="004736D2"/>
    <w:rsid w:val="004737B8"/>
    <w:rsid w:val="00473815"/>
    <w:rsid w:val="004738E6"/>
    <w:rsid w:val="00473AE2"/>
    <w:rsid w:val="00473BEF"/>
    <w:rsid w:val="00473C6D"/>
    <w:rsid w:val="00473E77"/>
    <w:rsid w:val="00473ED4"/>
    <w:rsid w:val="0047441C"/>
    <w:rsid w:val="004744B7"/>
    <w:rsid w:val="0047456D"/>
    <w:rsid w:val="0047467D"/>
    <w:rsid w:val="00474847"/>
    <w:rsid w:val="00474876"/>
    <w:rsid w:val="004749FE"/>
    <w:rsid w:val="00474A54"/>
    <w:rsid w:val="00474F94"/>
    <w:rsid w:val="004750C6"/>
    <w:rsid w:val="004752BD"/>
    <w:rsid w:val="004753E9"/>
    <w:rsid w:val="00475874"/>
    <w:rsid w:val="00475C23"/>
    <w:rsid w:val="00475F42"/>
    <w:rsid w:val="00475F8C"/>
    <w:rsid w:val="004761AA"/>
    <w:rsid w:val="0047637E"/>
    <w:rsid w:val="00476418"/>
    <w:rsid w:val="00476909"/>
    <w:rsid w:val="0047697A"/>
    <w:rsid w:val="00476A77"/>
    <w:rsid w:val="00476A7A"/>
    <w:rsid w:val="00476B37"/>
    <w:rsid w:val="00476C23"/>
    <w:rsid w:val="00476E64"/>
    <w:rsid w:val="00476E6F"/>
    <w:rsid w:val="0047708B"/>
    <w:rsid w:val="004770F6"/>
    <w:rsid w:val="00477324"/>
    <w:rsid w:val="00477713"/>
    <w:rsid w:val="004779A3"/>
    <w:rsid w:val="00477DCD"/>
    <w:rsid w:val="00480345"/>
    <w:rsid w:val="00480386"/>
    <w:rsid w:val="00480395"/>
    <w:rsid w:val="004803AA"/>
    <w:rsid w:val="0048085C"/>
    <w:rsid w:val="004809F7"/>
    <w:rsid w:val="00480C89"/>
    <w:rsid w:val="00480D36"/>
    <w:rsid w:val="00481445"/>
    <w:rsid w:val="004814C0"/>
    <w:rsid w:val="004819B9"/>
    <w:rsid w:val="00481B4E"/>
    <w:rsid w:val="00482052"/>
    <w:rsid w:val="004820DD"/>
    <w:rsid w:val="00482172"/>
    <w:rsid w:val="0048253A"/>
    <w:rsid w:val="004825BE"/>
    <w:rsid w:val="0048268D"/>
    <w:rsid w:val="0048336E"/>
    <w:rsid w:val="00483427"/>
    <w:rsid w:val="00483630"/>
    <w:rsid w:val="00483863"/>
    <w:rsid w:val="004839D7"/>
    <w:rsid w:val="00483A7E"/>
    <w:rsid w:val="00483B04"/>
    <w:rsid w:val="00483F6C"/>
    <w:rsid w:val="00484248"/>
    <w:rsid w:val="004842A9"/>
    <w:rsid w:val="004846EF"/>
    <w:rsid w:val="00484AC8"/>
    <w:rsid w:val="0048501C"/>
    <w:rsid w:val="00485033"/>
    <w:rsid w:val="004850B8"/>
    <w:rsid w:val="004852B4"/>
    <w:rsid w:val="0048531C"/>
    <w:rsid w:val="00485326"/>
    <w:rsid w:val="00485350"/>
    <w:rsid w:val="004855D4"/>
    <w:rsid w:val="0048589A"/>
    <w:rsid w:val="00485B1E"/>
    <w:rsid w:val="00485ECE"/>
    <w:rsid w:val="00485F49"/>
    <w:rsid w:val="00486005"/>
    <w:rsid w:val="0048604C"/>
    <w:rsid w:val="004860D7"/>
    <w:rsid w:val="00486370"/>
    <w:rsid w:val="004863FC"/>
    <w:rsid w:val="0048662A"/>
    <w:rsid w:val="004867EB"/>
    <w:rsid w:val="00486873"/>
    <w:rsid w:val="004869F0"/>
    <w:rsid w:val="004871C5"/>
    <w:rsid w:val="0048744F"/>
    <w:rsid w:val="00487B22"/>
    <w:rsid w:val="00490041"/>
    <w:rsid w:val="0049016C"/>
    <w:rsid w:val="00490255"/>
    <w:rsid w:val="004902B7"/>
    <w:rsid w:val="00490383"/>
    <w:rsid w:val="00490426"/>
    <w:rsid w:val="00490737"/>
    <w:rsid w:val="00490813"/>
    <w:rsid w:val="00490BAC"/>
    <w:rsid w:val="00490C6F"/>
    <w:rsid w:val="00490F17"/>
    <w:rsid w:val="00490FA2"/>
    <w:rsid w:val="00491234"/>
    <w:rsid w:val="00491988"/>
    <w:rsid w:val="00491A24"/>
    <w:rsid w:val="00491A8B"/>
    <w:rsid w:val="00491B71"/>
    <w:rsid w:val="00491D8E"/>
    <w:rsid w:val="004920F3"/>
    <w:rsid w:val="004921EA"/>
    <w:rsid w:val="004924A5"/>
    <w:rsid w:val="004926CA"/>
    <w:rsid w:val="00492876"/>
    <w:rsid w:val="0049288A"/>
    <w:rsid w:val="00493150"/>
    <w:rsid w:val="00493184"/>
    <w:rsid w:val="0049366B"/>
    <w:rsid w:val="004938DB"/>
    <w:rsid w:val="00493B01"/>
    <w:rsid w:val="00493B0B"/>
    <w:rsid w:val="00493D64"/>
    <w:rsid w:val="00493E3B"/>
    <w:rsid w:val="00493FB2"/>
    <w:rsid w:val="00493FF5"/>
    <w:rsid w:val="00493FFA"/>
    <w:rsid w:val="00494021"/>
    <w:rsid w:val="004945A8"/>
    <w:rsid w:val="004945B1"/>
    <w:rsid w:val="00494734"/>
    <w:rsid w:val="004947B1"/>
    <w:rsid w:val="00494BA4"/>
    <w:rsid w:val="00494E47"/>
    <w:rsid w:val="004950A0"/>
    <w:rsid w:val="004951DD"/>
    <w:rsid w:val="004956AF"/>
    <w:rsid w:val="004956C0"/>
    <w:rsid w:val="00495798"/>
    <w:rsid w:val="004957FD"/>
    <w:rsid w:val="004959DA"/>
    <w:rsid w:val="00495A24"/>
    <w:rsid w:val="00495A73"/>
    <w:rsid w:val="00495AD7"/>
    <w:rsid w:val="00495AE6"/>
    <w:rsid w:val="00495D59"/>
    <w:rsid w:val="00495EFB"/>
    <w:rsid w:val="00496247"/>
    <w:rsid w:val="004963B7"/>
    <w:rsid w:val="00496813"/>
    <w:rsid w:val="00496898"/>
    <w:rsid w:val="0049695D"/>
    <w:rsid w:val="00496BF9"/>
    <w:rsid w:val="00497221"/>
    <w:rsid w:val="00497265"/>
    <w:rsid w:val="004973C7"/>
    <w:rsid w:val="00497751"/>
    <w:rsid w:val="00497A78"/>
    <w:rsid w:val="00497A92"/>
    <w:rsid w:val="00497AE0"/>
    <w:rsid w:val="00497BAA"/>
    <w:rsid w:val="00497C3D"/>
    <w:rsid w:val="00497D1E"/>
    <w:rsid w:val="004A0088"/>
    <w:rsid w:val="004A0213"/>
    <w:rsid w:val="004A039C"/>
    <w:rsid w:val="004A05A2"/>
    <w:rsid w:val="004A05AE"/>
    <w:rsid w:val="004A07F7"/>
    <w:rsid w:val="004A089F"/>
    <w:rsid w:val="004A0996"/>
    <w:rsid w:val="004A09F2"/>
    <w:rsid w:val="004A0C5E"/>
    <w:rsid w:val="004A0CA4"/>
    <w:rsid w:val="004A0F0D"/>
    <w:rsid w:val="004A14DB"/>
    <w:rsid w:val="004A1509"/>
    <w:rsid w:val="004A151F"/>
    <w:rsid w:val="004A15C4"/>
    <w:rsid w:val="004A18CB"/>
    <w:rsid w:val="004A1915"/>
    <w:rsid w:val="004A195B"/>
    <w:rsid w:val="004A1AB1"/>
    <w:rsid w:val="004A1ACC"/>
    <w:rsid w:val="004A1BBF"/>
    <w:rsid w:val="004A200F"/>
    <w:rsid w:val="004A20A6"/>
    <w:rsid w:val="004A2232"/>
    <w:rsid w:val="004A22DE"/>
    <w:rsid w:val="004A29BB"/>
    <w:rsid w:val="004A29D1"/>
    <w:rsid w:val="004A2BE6"/>
    <w:rsid w:val="004A2D6B"/>
    <w:rsid w:val="004A2DA8"/>
    <w:rsid w:val="004A2FBF"/>
    <w:rsid w:val="004A34B6"/>
    <w:rsid w:val="004A39CE"/>
    <w:rsid w:val="004A3AED"/>
    <w:rsid w:val="004A3B38"/>
    <w:rsid w:val="004A3B3E"/>
    <w:rsid w:val="004A3B57"/>
    <w:rsid w:val="004A3C5D"/>
    <w:rsid w:val="004A3C62"/>
    <w:rsid w:val="004A3DA4"/>
    <w:rsid w:val="004A42B8"/>
    <w:rsid w:val="004A4439"/>
    <w:rsid w:val="004A4551"/>
    <w:rsid w:val="004A460C"/>
    <w:rsid w:val="004A47C2"/>
    <w:rsid w:val="004A4AEC"/>
    <w:rsid w:val="004A4C80"/>
    <w:rsid w:val="004A4D17"/>
    <w:rsid w:val="004A4EF2"/>
    <w:rsid w:val="004A51B1"/>
    <w:rsid w:val="004A5214"/>
    <w:rsid w:val="004A53C6"/>
    <w:rsid w:val="004A5517"/>
    <w:rsid w:val="004A55B3"/>
    <w:rsid w:val="004A591A"/>
    <w:rsid w:val="004A5D58"/>
    <w:rsid w:val="004A61D9"/>
    <w:rsid w:val="004A626E"/>
    <w:rsid w:val="004A63B1"/>
    <w:rsid w:val="004A64C1"/>
    <w:rsid w:val="004A6688"/>
    <w:rsid w:val="004A6C25"/>
    <w:rsid w:val="004A6CAB"/>
    <w:rsid w:val="004A6D98"/>
    <w:rsid w:val="004A6F62"/>
    <w:rsid w:val="004A6FE7"/>
    <w:rsid w:val="004A70E7"/>
    <w:rsid w:val="004A73F1"/>
    <w:rsid w:val="004A7411"/>
    <w:rsid w:val="004A74E4"/>
    <w:rsid w:val="004A757D"/>
    <w:rsid w:val="004A7587"/>
    <w:rsid w:val="004A7727"/>
    <w:rsid w:val="004A774A"/>
    <w:rsid w:val="004A7774"/>
    <w:rsid w:val="004A795C"/>
    <w:rsid w:val="004A7A7D"/>
    <w:rsid w:val="004A7F45"/>
    <w:rsid w:val="004B00E6"/>
    <w:rsid w:val="004B019B"/>
    <w:rsid w:val="004B01F2"/>
    <w:rsid w:val="004B0751"/>
    <w:rsid w:val="004B0788"/>
    <w:rsid w:val="004B0A14"/>
    <w:rsid w:val="004B0BDB"/>
    <w:rsid w:val="004B0C13"/>
    <w:rsid w:val="004B0E85"/>
    <w:rsid w:val="004B0F22"/>
    <w:rsid w:val="004B116C"/>
    <w:rsid w:val="004B1456"/>
    <w:rsid w:val="004B14F6"/>
    <w:rsid w:val="004B1A1F"/>
    <w:rsid w:val="004B1DF4"/>
    <w:rsid w:val="004B1E2D"/>
    <w:rsid w:val="004B1F78"/>
    <w:rsid w:val="004B2056"/>
    <w:rsid w:val="004B22CA"/>
    <w:rsid w:val="004B22CE"/>
    <w:rsid w:val="004B23A1"/>
    <w:rsid w:val="004B23B4"/>
    <w:rsid w:val="004B265E"/>
    <w:rsid w:val="004B30D3"/>
    <w:rsid w:val="004B34AC"/>
    <w:rsid w:val="004B3B59"/>
    <w:rsid w:val="004B3E6D"/>
    <w:rsid w:val="004B42FA"/>
    <w:rsid w:val="004B471D"/>
    <w:rsid w:val="004B4900"/>
    <w:rsid w:val="004B492C"/>
    <w:rsid w:val="004B4B5A"/>
    <w:rsid w:val="004B4D43"/>
    <w:rsid w:val="004B4DA8"/>
    <w:rsid w:val="004B5100"/>
    <w:rsid w:val="004B57A1"/>
    <w:rsid w:val="004B57B8"/>
    <w:rsid w:val="004B5A6D"/>
    <w:rsid w:val="004B5C85"/>
    <w:rsid w:val="004B5CBD"/>
    <w:rsid w:val="004B5D1A"/>
    <w:rsid w:val="004B5E3C"/>
    <w:rsid w:val="004B5F00"/>
    <w:rsid w:val="004B6304"/>
    <w:rsid w:val="004B65BA"/>
    <w:rsid w:val="004B66A8"/>
    <w:rsid w:val="004B675F"/>
    <w:rsid w:val="004B6A52"/>
    <w:rsid w:val="004B6CC7"/>
    <w:rsid w:val="004B6DBE"/>
    <w:rsid w:val="004B6E6E"/>
    <w:rsid w:val="004B6FA0"/>
    <w:rsid w:val="004B72A2"/>
    <w:rsid w:val="004B748A"/>
    <w:rsid w:val="004B74DA"/>
    <w:rsid w:val="004B7700"/>
    <w:rsid w:val="004B770F"/>
    <w:rsid w:val="004B77B7"/>
    <w:rsid w:val="004B7B60"/>
    <w:rsid w:val="004B7BAA"/>
    <w:rsid w:val="004B7CB2"/>
    <w:rsid w:val="004B7EEA"/>
    <w:rsid w:val="004B7EF4"/>
    <w:rsid w:val="004B7FF2"/>
    <w:rsid w:val="004C015F"/>
    <w:rsid w:val="004C01FC"/>
    <w:rsid w:val="004C0668"/>
    <w:rsid w:val="004C07D2"/>
    <w:rsid w:val="004C0976"/>
    <w:rsid w:val="004C0E90"/>
    <w:rsid w:val="004C12C1"/>
    <w:rsid w:val="004C1424"/>
    <w:rsid w:val="004C1566"/>
    <w:rsid w:val="004C1663"/>
    <w:rsid w:val="004C16CD"/>
    <w:rsid w:val="004C179C"/>
    <w:rsid w:val="004C1A6F"/>
    <w:rsid w:val="004C1B4D"/>
    <w:rsid w:val="004C1B54"/>
    <w:rsid w:val="004C1BA7"/>
    <w:rsid w:val="004C1C9B"/>
    <w:rsid w:val="004C2054"/>
    <w:rsid w:val="004C234C"/>
    <w:rsid w:val="004C236C"/>
    <w:rsid w:val="004C243A"/>
    <w:rsid w:val="004C275A"/>
    <w:rsid w:val="004C27A7"/>
    <w:rsid w:val="004C27D3"/>
    <w:rsid w:val="004C27E4"/>
    <w:rsid w:val="004C2970"/>
    <w:rsid w:val="004C2B58"/>
    <w:rsid w:val="004C2B82"/>
    <w:rsid w:val="004C2B9F"/>
    <w:rsid w:val="004C2CF6"/>
    <w:rsid w:val="004C3077"/>
    <w:rsid w:val="004C30C1"/>
    <w:rsid w:val="004C32B7"/>
    <w:rsid w:val="004C38F8"/>
    <w:rsid w:val="004C3A36"/>
    <w:rsid w:val="004C3F7F"/>
    <w:rsid w:val="004C4047"/>
    <w:rsid w:val="004C40F1"/>
    <w:rsid w:val="004C423F"/>
    <w:rsid w:val="004C4839"/>
    <w:rsid w:val="004C4878"/>
    <w:rsid w:val="004C48CF"/>
    <w:rsid w:val="004C4B58"/>
    <w:rsid w:val="004C5034"/>
    <w:rsid w:val="004C5093"/>
    <w:rsid w:val="004C51B1"/>
    <w:rsid w:val="004C52E5"/>
    <w:rsid w:val="004C5415"/>
    <w:rsid w:val="004C5486"/>
    <w:rsid w:val="004C5850"/>
    <w:rsid w:val="004C585A"/>
    <w:rsid w:val="004C5945"/>
    <w:rsid w:val="004C5A04"/>
    <w:rsid w:val="004C5A59"/>
    <w:rsid w:val="004C5A92"/>
    <w:rsid w:val="004C5AD0"/>
    <w:rsid w:val="004C5FD8"/>
    <w:rsid w:val="004C602D"/>
    <w:rsid w:val="004C6128"/>
    <w:rsid w:val="004C6454"/>
    <w:rsid w:val="004C6663"/>
    <w:rsid w:val="004C66BC"/>
    <w:rsid w:val="004C6780"/>
    <w:rsid w:val="004C6840"/>
    <w:rsid w:val="004C69DD"/>
    <w:rsid w:val="004C6AF2"/>
    <w:rsid w:val="004C6C5B"/>
    <w:rsid w:val="004C6D22"/>
    <w:rsid w:val="004C6D90"/>
    <w:rsid w:val="004C6F41"/>
    <w:rsid w:val="004C70C3"/>
    <w:rsid w:val="004C7790"/>
    <w:rsid w:val="004C786B"/>
    <w:rsid w:val="004C78F9"/>
    <w:rsid w:val="004C7B6D"/>
    <w:rsid w:val="004C7D29"/>
    <w:rsid w:val="004D01C0"/>
    <w:rsid w:val="004D0227"/>
    <w:rsid w:val="004D06EB"/>
    <w:rsid w:val="004D0775"/>
    <w:rsid w:val="004D07B2"/>
    <w:rsid w:val="004D0A9C"/>
    <w:rsid w:val="004D0CF7"/>
    <w:rsid w:val="004D0CFE"/>
    <w:rsid w:val="004D135D"/>
    <w:rsid w:val="004D1454"/>
    <w:rsid w:val="004D15FC"/>
    <w:rsid w:val="004D1630"/>
    <w:rsid w:val="004D1743"/>
    <w:rsid w:val="004D177E"/>
    <w:rsid w:val="004D17BB"/>
    <w:rsid w:val="004D183F"/>
    <w:rsid w:val="004D1851"/>
    <w:rsid w:val="004D19B5"/>
    <w:rsid w:val="004D1BF7"/>
    <w:rsid w:val="004D1C7C"/>
    <w:rsid w:val="004D2192"/>
    <w:rsid w:val="004D2280"/>
    <w:rsid w:val="004D24DF"/>
    <w:rsid w:val="004D2591"/>
    <w:rsid w:val="004D276F"/>
    <w:rsid w:val="004D2E1E"/>
    <w:rsid w:val="004D2E61"/>
    <w:rsid w:val="004D2F01"/>
    <w:rsid w:val="004D2FDD"/>
    <w:rsid w:val="004D3173"/>
    <w:rsid w:val="004D3275"/>
    <w:rsid w:val="004D3513"/>
    <w:rsid w:val="004D370E"/>
    <w:rsid w:val="004D3A72"/>
    <w:rsid w:val="004D3ADE"/>
    <w:rsid w:val="004D3CE2"/>
    <w:rsid w:val="004D3CF4"/>
    <w:rsid w:val="004D4299"/>
    <w:rsid w:val="004D46AA"/>
    <w:rsid w:val="004D4AE7"/>
    <w:rsid w:val="004D4B55"/>
    <w:rsid w:val="004D4D5B"/>
    <w:rsid w:val="004D50AB"/>
    <w:rsid w:val="004D56F7"/>
    <w:rsid w:val="004D5828"/>
    <w:rsid w:val="004D5932"/>
    <w:rsid w:val="004D5B1A"/>
    <w:rsid w:val="004D5EE4"/>
    <w:rsid w:val="004D5F73"/>
    <w:rsid w:val="004D6196"/>
    <w:rsid w:val="004D6285"/>
    <w:rsid w:val="004D6523"/>
    <w:rsid w:val="004D6539"/>
    <w:rsid w:val="004D656F"/>
    <w:rsid w:val="004D6A16"/>
    <w:rsid w:val="004D6A8E"/>
    <w:rsid w:val="004D6ADA"/>
    <w:rsid w:val="004D6BC9"/>
    <w:rsid w:val="004D6D7D"/>
    <w:rsid w:val="004D6E55"/>
    <w:rsid w:val="004D71C7"/>
    <w:rsid w:val="004D733E"/>
    <w:rsid w:val="004D765C"/>
    <w:rsid w:val="004D76B8"/>
    <w:rsid w:val="004D7CE5"/>
    <w:rsid w:val="004E055C"/>
    <w:rsid w:val="004E0B0D"/>
    <w:rsid w:val="004E0E98"/>
    <w:rsid w:val="004E120C"/>
    <w:rsid w:val="004E1258"/>
    <w:rsid w:val="004E1298"/>
    <w:rsid w:val="004E199F"/>
    <w:rsid w:val="004E1B83"/>
    <w:rsid w:val="004E1B96"/>
    <w:rsid w:val="004E1E44"/>
    <w:rsid w:val="004E1F56"/>
    <w:rsid w:val="004E2302"/>
    <w:rsid w:val="004E2385"/>
    <w:rsid w:val="004E283A"/>
    <w:rsid w:val="004E287D"/>
    <w:rsid w:val="004E29FF"/>
    <w:rsid w:val="004E2A55"/>
    <w:rsid w:val="004E2EBA"/>
    <w:rsid w:val="004E3208"/>
    <w:rsid w:val="004E35F6"/>
    <w:rsid w:val="004E3917"/>
    <w:rsid w:val="004E3B6A"/>
    <w:rsid w:val="004E3C53"/>
    <w:rsid w:val="004E3DBB"/>
    <w:rsid w:val="004E3DC7"/>
    <w:rsid w:val="004E4097"/>
    <w:rsid w:val="004E441A"/>
    <w:rsid w:val="004E4482"/>
    <w:rsid w:val="004E44C8"/>
    <w:rsid w:val="004E4570"/>
    <w:rsid w:val="004E4739"/>
    <w:rsid w:val="004E482C"/>
    <w:rsid w:val="004E4864"/>
    <w:rsid w:val="004E49F6"/>
    <w:rsid w:val="004E4C61"/>
    <w:rsid w:val="004E4EBC"/>
    <w:rsid w:val="004E554F"/>
    <w:rsid w:val="004E5617"/>
    <w:rsid w:val="004E5779"/>
    <w:rsid w:val="004E578D"/>
    <w:rsid w:val="004E5C05"/>
    <w:rsid w:val="004E6253"/>
    <w:rsid w:val="004E6620"/>
    <w:rsid w:val="004E662C"/>
    <w:rsid w:val="004E675F"/>
    <w:rsid w:val="004E6CE7"/>
    <w:rsid w:val="004E6D4E"/>
    <w:rsid w:val="004E6E49"/>
    <w:rsid w:val="004E6EAD"/>
    <w:rsid w:val="004E7167"/>
    <w:rsid w:val="004E75F8"/>
    <w:rsid w:val="004E7743"/>
    <w:rsid w:val="004E79F4"/>
    <w:rsid w:val="004E7BFC"/>
    <w:rsid w:val="004E7D1F"/>
    <w:rsid w:val="004E7F36"/>
    <w:rsid w:val="004F0098"/>
    <w:rsid w:val="004F0670"/>
    <w:rsid w:val="004F074F"/>
    <w:rsid w:val="004F07BB"/>
    <w:rsid w:val="004F083F"/>
    <w:rsid w:val="004F08A2"/>
    <w:rsid w:val="004F0B21"/>
    <w:rsid w:val="004F0C5F"/>
    <w:rsid w:val="004F1262"/>
    <w:rsid w:val="004F127D"/>
    <w:rsid w:val="004F13CF"/>
    <w:rsid w:val="004F1829"/>
    <w:rsid w:val="004F1A25"/>
    <w:rsid w:val="004F1D3A"/>
    <w:rsid w:val="004F2031"/>
    <w:rsid w:val="004F264D"/>
    <w:rsid w:val="004F2776"/>
    <w:rsid w:val="004F27F3"/>
    <w:rsid w:val="004F2981"/>
    <w:rsid w:val="004F2BAD"/>
    <w:rsid w:val="004F2E93"/>
    <w:rsid w:val="004F3095"/>
    <w:rsid w:val="004F32A2"/>
    <w:rsid w:val="004F3326"/>
    <w:rsid w:val="004F3385"/>
    <w:rsid w:val="004F3443"/>
    <w:rsid w:val="004F3531"/>
    <w:rsid w:val="004F3553"/>
    <w:rsid w:val="004F3591"/>
    <w:rsid w:val="004F35B6"/>
    <w:rsid w:val="004F3766"/>
    <w:rsid w:val="004F3C0C"/>
    <w:rsid w:val="004F3D0C"/>
    <w:rsid w:val="004F3D77"/>
    <w:rsid w:val="004F40E2"/>
    <w:rsid w:val="004F42C2"/>
    <w:rsid w:val="004F432D"/>
    <w:rsid w:val="004F434A"/>
    <w:rsid w:val="004F47E4"/>
    <w:rsid w:val="004F48E5"/>
    <w:rsid w:val="004F493E"/>
    <w:rsid w:val="004F4B4A"/>
    <w:rsid w:val="004F4C8D"/>
    <w:rsid w:val="004F4E75"/>
    <w:rsid w:val="004F501F"/>
    <w:rsid w:val="004F5074"/>
    <w:rsid w:val="004F524D"/>
    <w:rsid w:val="004F54D4"/>
    <w:rsid w:val="004F55E5"/>
    <w:rsid w:val="004F59AB"/>
    <w:rsid w:val="004F5A16"/>
    <w:rsid w:val="004F5BBD"/>
    <w:rsid w:val="004F5BC4"/>
    <w:rsid w:val="004F5C7E"/>
    <w:rsid w:val="004F61DF"/>
    <w:rsid w:val="004F61EC"/>
    <w:rsid w:val="004F61FC"/>
    <w:rsid w:val="004F6452"/>
    <w:rsid w:val="004F6527"/>
    <w:rsid w:val="004F65AB"/>
    <w:rsid w:val="004F6874"/>
    <w:rsid w:val="004F6AD9"/>
    <w:rsid w:val="004F6ADE"/>
    <w:rsid w:val="004F6B88"/>
    <w:rsid w:val="004F6CAD"/>
    <w:rsid w:val="004F6D6F"/>
    <w:rsid w:val="004F709E"/>
    <w:rsid w:val="004F710D"/>
    <w:rsid w:val="004F721C"/>
    <w:rsid w:val="004F7269"/>
    <w:rsid w:val="004F74F8"/>
    <w:rsid w:val="004F75F9"/>
    <w:rsid w:val="004F7702"/>
    <w:rsid w:val="004F7CC1"/>
    <w:rsid w:val="005000C1"/>
    <w:rsid w:val="00500120"/>
    <w:rsid w:val="00500290"/>
    <w:rsid w:val="005006F8"/>
    <w:rsid w:val="0050078C"/>
    <w:rsid w:val="005009BA"/>
    <w:rsid w:val="00500A11"/>
    <w:rsid w:val="00500A30"/>
    <w:rsid w:val="00500CC8"/>
    <w:rsid w:val="00500EDD"/>
    <w:rsid w:val="00501014"/>
    <w:rsid w:val="0050101B"/>
    <w:rsid w:val="005015FD"/>
    <w:rsid w:val="00501D32"/>
    <w:rsid w:val="00501D61"/>
    <w:rsid w:val="00501E4B"/>
    <w:rsid w:val="00501F76"/>
    <w:rsid w:val="005020CC"/>
    <w:rsid w:val="005021F8"/>
    <w:rsid w:val="00502974"/>
    <w:rsid w:val="00502A92"/>
    <w:rsid w:val="00502CB4"/>
    <w:rsid w:val="00502F6D"/>
    <w:rsid w:val="00502FC1"/>
    <w:rsid w:val="005031EB"/>
    <w:rsid w:val="00503216"/>
    <w:rsid w:val="00503A8C"/>
    <w:rsid w:val="00503AA4"/>
    <w:rsid w:val="00503B61"/>
    <w:rsid w:val="00503B88"/>
    <w:rsid w:val="00503F70"/>
    <w:rsid w:val="00504396"/>
    <w:rsid w:val="00504774"/>
    <w:rsid w:val="0050485D"/>
    <w:rsid w:val="00504AE5"/>
    <w:rsid w:val="00504E69"/>
    <w:rsid w:val="00504F5C"/>
    <w:rsid w:val="00504FEA"/>
    <w:rsid w:val="005051B8"/>
    <w:rsid w:val="00505204"/>
    <w:rsid w:val="0050558D"/>
    <w:rsid w:val="0050580A"/>
    <w:rsid w:val="00505912"/>
    <w:rsid w:val="00505B9E"/>
    <w:rsid w:val="00505C7D"/>
    <w:rsid w:val="00505D86"/>
    <w:rsid w:val="00505E63"/>
    <w:rsid w:val="005060C5"/>
    <w:rsid w:val="0050615D"/>
    <w:rsid w:val="0050637F"/>
    <w:rsid w:val="005065F6"/>
    <w:rsid w:val="0050675B"/>
    <w:rsid w:val="00507019"/>
    <w:rsid w:val="0050733F"/>
    <w:rsid w:val="005078A2"/>
    <w:rsid w:val="00507C07"/>
    <w:rsid w:val="00507F25"/>
    <w:rsid w:val="00510382"/>
    <w:rsid w:val="00510451"/>
    <w:rsid w:val="00510677"/>
    <w:rsid w:val="00510956"/>
    <w:rsid w:val="00510B14"/>
    <w:rsid w:val="00510B1F"/>
    <w:rsid w:val="00510B99"/>
    <w:rsid w:val="00510FC0"/>
    <w:rsid w:val="005110DF"/>
    <w:rsid w:val="0051110C"/>
    <w:rsid w:val="005114B8"/>
    <w:rsid w:val="005116B3"/>
    <w:rsid w:val="0051178F"/>
    <w:rsid w:val="005119A6"/>
    <w:rsid w:val="00511AEE"/>
    <w:rsid w:val="00511D46"/>
    <w:rsid w:val="00512196"/>
    <w:rsid w:val="005121C4"/>
    <w:rsid w:val="005123CE"/>
    <w:rsid w:val="0051243D"/>
    <w:rsid w:val="005127DA"/>
    <w:rsid w:val="00512998"/>
    <w:rsid w:val="005129F2"/>
    <w:rsid w:val="00512ACD"/>
    <w:rsid w:val="00512BE9"/>
    <w:rsid w:val="00512D9C"/>
    <w:rsid w:val="00512DE4"/>
    <w:rsid w:val="00512F6A"/>
    <w:rsid w:val="00513092"/>
    <w:rsid w:val="0051335F"/>
    <w:rsid w:val="005136F1"/>
    <w:rsid w:val="00513891"/>
    <w:rsid w:val="005138BD"/>
    <w:rsid w:val="005139C4"/>
    <w:rsid w:val="00513C39"/>
    <w:rsid w:val="00513D21"/>
    <w:rsid w:val="00513D23"/>
    <w:rsid w:val="00514004"/>
    <w:rsid w:val="00514194"/>
    <w:rsid w:val="00514371"/>
    <w:rsid w:val="0051454D"/>
    <w:rsid w:val="005145FF"/>
    <w:rsid w:val="00514812"/>
    <w:rsid w:val="00514A85"/>
    <w:rsid w:val="00514D83"/>
    <w:rsid w:val="00514E4F"/>
    <w:rsid w:val="00514FE7"/>
    <w:rsid w:val="005150A9"/>
    <w:rsid w:val="00515118"/>
    <w:rsid w:val="0051531A"/>
    <w:rsid w:val="0051533D"/>
    <w:rsid w:val="0051534A"/>
    <w:rsid w:val="00515379"/>
    <w:rsid w:val="00515381"/>
    <w:rsid w:val="0051561D"/>
    <w:rsid w:val="00515741"/>
    <w:rsid w:val="005159BC"/>
    <w:rsid w:val="005159D2"/>
    <w:rsid w:val="00515B59"/>
    <w:rsid w:val="00515BAD"/>
    <w:rsid w:val="00516200"/>
    <w:rsid w:val="00516870"/>
    <w:rsid w:val="005169B3"/>
    <w:rsid w:val="00516BF1"/>
    <w:rsid w:val="00516C97"/>
    <w:rsid w:val="00516DE7"/>
    <w:rsid w:val="005170EA"/>
    <w:rsid w:val="005171B1"/>
    <w:rsid w:val="00517317"/>
    <w:rsid w:val="0051740B"/>
    <w:rsid w:val="00517521"/>
    <w:rsid w:val="00517677"/>
    <w:rsid w:val="00517792"/>
    <w:rsid w:val="00517800"/>
    <w:rsid w:val="00517BA0"/>
    <w:rsid w:val="00517C82"/>
    <w:rsid w:val="00520041"/>
    <w:rsid w:val="00520645"/>
    <w:rsid w:val="00520671"/>
    <w:rsid w:val="0052067F"/>
    <w:rsid w:val="005206A8"/>
    <w:rsid w:val="0052097E"/>
    <w:rsid w:val="00520BF3"/>
    <w:rsid w:val="00520D0B"/>
    <w:rsid w:val="00520F6F"/>
    <w:rsid w:val="005212C3"/>
    <w:rsid w:val="00521404"/>
    <w:rsid w:val="0052140A"/>
    <w:rsid w:val="005215C5"/>
    <w:rsid w:val="0052169F"/>
    <w:rsid w:val="005219A2"/>
    <w:rsid w:val="00521C45"/>
    <w:rsid w:val="00521D21"/>
    <w:rsid w:val="00521D2A"/>
    <w:rsid w:val="00521E20"/>
    <w:rsid w:val="005223D3"/>
    <w:rsid w:val="00522611"/>
    <w:rsid w:val="00522670"/>
    <w:rsid w:val="00522A56"/>
    <w:rsid w:val="00522FA0"/>
    <w:rsid w:val="00523036"/>
    <w:rsid w:val="00523203"/>
    <w:rsid w:val="00523411"/>
    <w:rsid w:val="005236E1"/>
    <w:rsid w:val="005239A3"/>
    <w:rsid w:val="00523AEE"/>
    <w:rsid w:val="00523B8D"/>
    <w:rsid w:val="00523F4A"/>
    <w:rsid w:val="00524115"/>
    <w:rsid w:val="0052413D"/>
    <w:rsid w:val="005246A3"/>
    <w:rsid w:val="00524978"/>
    <w:rsid w:val="00524FDD"/>
    <w:rsid w:val="005251A7"/>
    <w:rsid w:val="00525220"/>
    <w:rsid w:val="005254FC"/>
    <w:rsid w:val="0052585C"/>
    <w:rsid w:val="005258CE"/>
    <w:rsid w:val="00525CB9"/>
    <w:rsid w:val="00525DB9"/>
    <w:rsid w:val="00525EFF"/>
    <w:rsid w:val="00526117"/>
    <w:rsid w:val="0052620C"/>
    <w:rsid w:val="00526A70"/>
    <w:rsid w:val="00526EC0"/>
    <w:rsid w:val="00526EE1"/>
    <w:rsid w:val="005270CC"/>
    <w:rsid w:val="005272FD"/>
    <w:rsid w:val="00527317"/>
    <w:rsid w:val="00527445"/>
    <w:rsid w:val="00527910"/>
    <w:rsid w:val="00527CB8"/>
    <w:rsid w:val="00527E02"/>
    <w:rsid w:val="00527ED6"/>
    <w:rsid w:val="00527FA9"/>
    <w:rsid w:val="005300E1"/>
    <w:rsid w:val="005301DA"/>
    <w:rsid w:val="00530337"/>
    <w:rsid w:val="005307F9"/>
    <w:rsid w:val="00530996"/>
    <w:rsid w:val="00530B3A"/>
    <w:rsid w:val="0053109C"/>
    <w:rsid w:val="00531580"/>
    <w:rsid w:val="005315DE"/>
    <w:rsid w:val="00531623"/>
    <w:rsid w:val="00531681"/>
    <w:rsid w:val="00531732"/>
    <w:rsid w:val="00531763"/>
    <w:rsid w:val="005317B2"/>
    <w:rsid w:val="0053196F"/>
    <w:rsid w:val="00531BFA"/>
    <w:rsid w:val="00531C63"/>
    <w:rsid w:val="00531E47"/>
    <w:rsid w:val="00531E7A"/>
    <w:rsid w:val="00531FCE"/>
    <w:rsid w:val="0053245C"/>
    <w:rsid w:val="0053246E"/>
    <w:rsid w:val="00532501"/>
    <w:rsid w:val="00532742"/>
    <w:rsid w:val="00532882"/>
    <w:rsid w:val="00532A54"/>
    <w:rsid w:val="00532B8D"/>
    <w:rsid w:val="005330D4"/>
    <w:rsid w:val="005330EB"/>
    <w:rsid w:val="00533193"/>
    <w:rsid w:val="00533444"/>
    <w:rsid w:val="00533A41"/>
    <w:rsid w:val="00533AC1"/>
    <w:rsid w:val="00533D67"/>
    <w:rsid w:val="00533F5A"/>
    <w:rsid w:val="0053425A"/>
    <w:rsid w:val="005342EC"/>
    <w:rsid w:val="00534353"/>
    <w:rsid w:val="00534543"/>
    <w:rsid w:val="0053456D"/>
    <w:rsid w:val="00534CDC"/>
    <w:rsid w:val="00534F73"/>
    <w:rsid w:val="005350E4"/>
    <w:rsid w:val="0053510A"/>
    <w:rsid w:val="00535196"/>
    <w:rsid w:val="005352E6"/>
    <w:rsid w:val="005353C5"/>
    <w:rsid w:val="00535461"/>
    <w:rsid w:val="00535E8A"/>
    <w:rsid w:val="00536606"/>
    <w:rsid w:val="005366D6"/>
    <w:rsid w:val="00536821"/>
    <w:rsid w:val="0053684F"/>
    <w:rsid w:val="0053716E"/>
    <w:rsid w:val="005374C7"/>
    <w:rsid w:val="00537548"/>
    <w:rsid w:val="00537619"/>
    <w:rsid w:val="0053765B"/>
    <w:rsid w:val="005377A5"/>
    <w:rsid w:val="00537806"/>
    <w:rsid w:val="005378B8"/>
    <w:rsid w:val="00537A87"/>
    <w:rsid w:val="00537C64"/>
    <w:rsid w:val="00537DAB"/>
    <w:rsid w:val="00537DEA"/>
    <w:rsid w:val="00537DF1"/>
    <w:rsid w:val="00537F1C"/>
    <w:rsid w:val="0054013C"/>
    <w:rsid w:val="00540160"/>
    <w:rsid w:val="005404CF"/>
    <w:rsid w:val="00540577"/>
    <w:rsid w:val="00540585"/>
    <w:rsid w:val="005407CB"/>
    <w:rsid w:val="0054099F"/>
    <w:rsid w:val="00540AB2"/>
    <w:rsid w:val="00541335"/>
    <w:rsid w:val="005417EE"/>
    <w:rsid w:val="00541CBD"/>
    <w:rsid w:val="00541D8E"/>
    <w:rsid w:val="00541D92"/>
    <w:rsid w:val="00541DF3"/>
    <w:rsid w:val="00541FEC"/>
    <w:rsid w:val="0054210D"/>
    <w:rsid w:val="005421C2"/>
    <w:rsid w:val="00542454"/>
    <w:rsid w:val="00542798"/>
    <w:rsid w:val="00542AE2"/>
    <w:rsid w:val="00542AF8"/>
    <w:rsid w:val="00542EE4"/>
    <w:rsid w:val="00543449"/>
    <w:rsid w:val="00543646"/>
    <w:rsid w:val="005439C4"/>
    <w:rsid w:val="00543A0A"/>
    <w:rsid w:val="00543DCD"/>
    <w:rsid w:val="00543F1F"/>
    <w:rsid w:val="005440C5"/>
    <w:rsid w:val="005440FB"/>
    <w:rsid w:val="005441B6"/>
    <w:rsid w:val="0054444C"/>
    <w:rsid w:val="0054447D"/>
    <w:rsid w:val="0054452B"/>
    <w:rsid w:val="005445D4"/>
    <w:rsid w:val="00544745"/>
    <w:rsid w:val="005449F1"/>
    <w:rsid w:val="00544B7F"/>
    <w:rsid w:val="00544F15"/>
    <w:rsid w:val="00544FB1"/>
    <w:rsid w:val="00545069"/>
    <w:rsid w:val="00545518"/>
    <w:rsid w:val="0054556D"/>
    <w:rsid w:val="005455D0"/>
    <w:rsid w:val="0054589F"/>
    <w:rsid w:val="00545A36"/>
    <w:rsid w:val="00545A3D"/>
    <w:rsid w:val="00545BB8"/>
    <w:rsid w:val="00545D74"/>
    <w:rsid w:val="00545F6D"/>
    <w:rsid w:val="0054602E"/>
    <w:rsid w:val="0054611C"/>
    <w:rsid w:val="0054612A"/>
    <w:rsid w:val="005461AE"/>
    <w:rsid w:val="00546301"/>
    <w:rsid w:val="005468CD"/>
    <w:rsid w:val="00546BB4"/>
    <w:rsid w:val="00546D79"/>
    <w:rsid w:val="00546DA4"/>
    <w:rsid w:val="00547046"/>
    <w:rsid w:val="0054740E"/>
    <w:rsid w:val="00547691"/>
    <w:rsid w:val="00547911"/>
    <w:rsid w:val="00547971"/>
    <w:rsid w:val="00547B03"/>
    <w:rsid w:val="00547BE8"/>
    <w:rsid w:val="00547D4A"/>
    <w:rsid w:val="00550563"/>
    <w:rsid w:val="00550600"/>
    <w:rsid w:val="0055068F"/>
    <w:rsid w:val="005509E7"/>
    <w:rsid w:val="00550BCB"/>
    <w:rsid w:val="00550D9F"/>
    <w:rsid w:val="00551020"/>
    <w:rsid w:val="005511AA"/>
    <w:rsid w:val="00551225"/>
    <w:rsid w:val="0055169A"/>
    <w:rsid w:val="00551850"/>
    <w:rsid w:val="00551A69"/>
    <w:rsid w:val="0055224D"/>
    <w:rsid w:val="00552263"/>
    <w:rsid w:val="0055226C"/>
    <w:rsid w:val="005523A5"/>
    <w:rsid w:val="005526AB"/>
    <w:rsid w:val="0055294C"/>
    <w:rsid w:val="005529E7"/>
    <w:rsid w:val="00552A63"/>
    <w:rsid w:val="00552DDC"/>
    <w:rsid w:val="00552F87"/>
    <w:rsid w:val="005533B0"/>
    <w:rsid w:val="005533B7"/>
    <w:rsid w:val="005536FA"/>
    <w:rsid w:val="00553764"/>
    <w:rsid w:val="005537EF"/>
    <w:rsid w:val="00553834"/>
    <w:rsid w:val="00553884"/>
    <w:rsid w:val="005538C7"/>
    <w:rsid w:val="00553B05"/>
    <w:rsid w:val="00553F2D"/>
    <w:rsid w:val="00553FAD"/>
    <w:rsid w:val="00554071"/>
    <w:rsid w:val="0055473C"/>
    <w:rsid w:val="00554974"/>
    <w:rsid w:val="00554C9F"/>
    <w:rsid w:val="00554FB3"/>
    <w:rsid w:val="00555006"/>
    <w:rsid w:val="005551B6"/>
    <w:rsid w:val="0055531F"/>
    <w:rsid w:val="005557E0"/>
    <w:rsid w:val="005557E2"/>
    <w:rsid w:val="00555835"/>
    <w:rsid w:val="00555A77"/>
    <w:rsid w:val="00555A86"/>
    <w:rsid w:val="00555AAE"/>
    <w:rsid w:val="00555E69"/>
    <w:rsid w:val="005563B1"/>
    <w:rsid w:val="005563BD"/>
    <w:rsid w:val="00556423"/>
    <w:rsid w:val="0055652F"/>
    <w:rsid w:val="005566DC"/>
    <w:rsid w:val="005566E6"/>
    <w:rsid w:val="00556716"/>
    <w:rsid w:val="00556BDB"/>
    <w:rsid w:val="00556C59"/>
    <w:rsid w:val="00556F38"/>
    <w:rsid w:val="00557753"/>
    <w:rsid w:val="005577E4"/>
    <w:rsid w:val="00557BB7"/>
    <w:rsid w:val="00557C51"/>
    <w:rsid w:val="00557F02"/>
    <w:rsid w:val="00557F38"/>
    <w:rsid w:val="00560237"/>
    <w:rsid w:val="005602A1"/>
    <w:rsid w:val="005602C4"/>
    <w:rsid w:val="0056049F"/>
    <w:rsid w:val="005604AA"/>
    <w:rsid w:val="005606E0"/>
    <w:rsid w:val="00560FBD"/>
    <w:rsid w:val="00561292"/>
    <w:rsid w:val="0056133C"/>
    <w:rsid w:val="00561677"/>
    <w:rsid w:val="0056184B"/>
    <w:rsid w:val="00561A50"/>
    <w:rsid w:val="00561C4F"/>
    <w:rsid w:val="005620FF"/>
    <w:rsid w:val="00562289"/>
    <w:rsid w:val="005625F4"/>
    <w:rsid w:val="00562669"/>
    <w:rsid w:val="00562A27"/>
    <w:rsid w:val="00562A97"/>
    <w:rsid w:val="00562B41"/>
    <w:rsid w:val="00562BA9"/>
    <w:rsid w:val="00562BBF"/>
    <w:rsid w:val="00562D8D"/>
    <w:rsid w:val="00563075"/>
    <w:rsid w:val="0056322A"/>
    <w:rsid w:val="0056365E"/>
    <w:rsid w:val="0056386E"/>
    <w:rsid w:val="00563B70"/>
    <w:rsid w:val="00563FA4"/>
    <w:rsid w:val="005642F7"/>
    <w:rsid w:val="00564598"/>
    <w:rsid w:val="0056468F"/>
    <w:rsid w:val="005647D5"/>
    <w:rsid w:val="005647F8"/>
    <w:rsid w:val="005648FC"/>
    <w:rsid w:val="00564AAA"/>
    <w:rsid w:val="00564B88"/>
    <w:rsid w:val="00564D47"/>
    <w:rsid w:val="00565060"/>
    <w:rsid w:val="0056512F"/>
    <w:rsid w:val="00565159"/>
    <w:rsid w:val="005654B8"/>
    <w:rsid w:val="00565662"/>
    <w:rsid w:val="00565758"/>
    <w:rsid w:val="0056583F"/>
    <w:rsid w:val="005659D5"/>
    <w:rsid w:val="00565B12"/>
    <w:rsid w:val="00565C41"/>
    <w:rsid w:val="00565C62"/>
    <w:rsid w:val="00565F0B"/>
    <w:rsid w:val="00566018"/>
    <w:rsid w:val="0056609B"/>
    <w:rsid w:val="005660C8"/>
    <w:rsid w:val="005660F2"/>
    <w:rsid w:val="0056612D"/>
    <w:rsid w:val="005666FA"/>
    <w:rsid w:val="00566734"/>
    <w:rsid w:val="005668C0"/>
    <w:rsid w:val="00566ECE"/>
    <w:rsid w:val="005670F7"/>
    <w:rsid w:val="00567161"/>
    <w:rsid w:val="00567208"/>
    <w:rsid w:val="00567590"/>
    <w:rsid w:val="0056766E"/>
    <w:rsid w:val="00567C40"/>
    <w:rsid w:val="00567C75"/>
    <w:rsid w:val="00567D15"/>
    <w:rsid w:val="00567D8C"/>
    <w:rsid w:val="00567F92"/>
    <w:rsid w:val="00570206"/>
    <w:rsid w:val="005703E3"/>
    <w:rsid w:val="005704C7"/>
    <w:rsid w:val="00570847"/>
    <w:rsid w:val="00570A33"/>
    <w:rsid w:val="00570A4C"/>
    <w:rsid w:val="00570A4D"/>
    <w:rsid w:val="00570B36"/>
    <w:rsid w:val="00570B54"/>
    <w:rsid w:val="00570B90"/>
    <w:rsid w:val="00570B94"/>
    <w:rsid w:val="00570D32"/>
    <w:rsid w:val="00570DB4"/>
    <w:rsid w:val="00570EAB"/>
    <w:rsid w:val="00570EBD"/>
    <w:rsid w:val="00570FE6"/>
    <w:rsid w:val="00571078"/>
    <w:rsid w:val="005712C5"/>
    <w:rsid w:val="0057138C"/>
    <w:rsid w:val="00571446"/>
    <w:rsid w:val="005714A4"/>
    <w:rsid w:val="00571578"/>
    <w:rsid w:val="00571A8F"/>
    <w:rsid w:val="00571D86"/>
    <w:rsid w:val="00572011"/>
    <w:rsid w:val="00572166"/>
    <w:rsid w:val="00572291"/>
    <w:rsid w:val="0057268E"/>
    <w:rsid w:val="00572856"/>
    <w:rsid w:val="005729E1"/>
    <w:rsid w:val="00572A1C"/>
    <w:rsid w:val="00572C04"/>
    <w:rsid w:val="00573053"/>
    <w:rsid w:val="00573107"/>
    <w:rsid w:val="005732CF"/>
    <w:rsid w:val="0057344D"/>
    <w:rsid w:val="005734C7"/>
    <w:rsid w:val="0057359C"/>
    <w:rsid w:val="005735B7"/>
    <w:rsid w:val="005739E3"/>
    <w:rsid w:val="00573D53"/>
    <w:rsid w:val="00573EB6"/>
    <w:rsid w:val="005740D9"/>
    <w:rsid w:val="00574158"/>
    <w:rsid w:val="005741AF"/>
    <w:rsid w:val="005742F5"/>
    <w:rsid w:val="00574602"/>
    <w:rsid w:val="00574817"/>
    <w:rsid w:val="0057483F"/>
    <w:rsid w:val="0057485C"/>
    <w:rsid w:val="0057495A"/>
    <w:rsid w:val="0057499C"/>
    <w:rsid w:val="00574B2A"/>
    <w:rsid w:val="00574B81"/>
    <w:rsid w:val="00574C5F"/>
    <w:rsid w:val="00574D0C"/>
    <w:rsid w:val="00574EBB"/>
    <w:rsid w:val="00574FA2"/>
    <w:rsid w:val="0057503D"/>
    <w:rsid w:val="0057527A"/>
    <w:rsid w:val="00575576"/>
    <w:rsid w:val="00575666"/>
    <w:rsid w:val="00575D41"/>
    <w:rsid w:val="00575DD6"/>
    <w:rsid w:val="00575F0B"/>
    <w:rsid w:val="00575FC5"/>
    <w:rsid w:val="0057621A"/>
    <w:rsid w:val="00576582"/>
    <w:rsid w:val="0057667F"/>
    <w:rsid w:val="005769AB"/>
    <w:rsid w:val="00576BA2"/>
    <w:rsid w:val="00576E0C"/>
    <w:rsid w:val="0057701A"/>
    <w:rsid w:val="00577048"/>
    <w:rsid w:val="00577A63"/>
    <w:rsid w:val="00577B4B"/>
    <w:rsid w:val="00577BD9"/>
    <w:rsid w:val="00577E29"/>
    <w:rsid w:val="00577FE1"/>
    <w:rsid w:val="00580220"/>
    <w:rsid w:val="005802B4"/>
    <w:rsid w:val="005803DD"/>
    <w:rsid w:val="0058079F"/>
    <w:rsid w:val="00580862"/>
    <w:rsid w:val="00580982"/>
    <w:rsid w:val="00580C97"/>
    <w:rsid w:val="00580CB1"/>
    <w:rsid w:val="00580DA1"/>
    <w:rsid w:val="00580E18"/>
    <w:rsid w:val="00580E1A"/>
    <w:rsid w:val="00580FC5"/>
    <w:rsid w:val="00581031"/>
    <w:rsid w:val="00581552"/>
    <w:rsid w:val="005815AF"/>
    <w:rsid w:val="005816F8"/>
    <w:rsid w:val="00581807"/>
    <w:rsid w:val="00581A55"/>
    <w:rsid w:val="00581ABF"/>
    <w:rsid w:val="00581C6C"/>
    <w:rsid w:val="00581D49"/>
    <w:rsid w:val="00581E64"/>
    <w:rsid w:val="005820D3"/>
    <w:rsid w:val="0058213B"/>
    <w:rsid w:val="00582217"/>
    <w:rsid w:val="00582452"/>
    <w:rsid w:val="00582578"/>
    <w:rsid w:val="00582807"/>
    <w:rsid w:val="00582993"/>
    <w:rsid w:val="00582B3E"/>
    <w:rsid w:val="00582E2E"/>
    <w:rsid w:val="00582FC3"/>
    <w:rsid w:val="00583172"/>
    <w:rsid w:val="0058346F"/>
    <w:rsid w:val="00583526"/>
    <w:rsid w:val="005835E0"/>
    <w:rsid w:val="005838AB"/>
    <w:rsid w:val="00583ACF"/>
    <w:rsid w:val="00583F5F"/>
    <w:rsid w:val="00584014"/>
    <w:rsid w:val="0058429B"/>
    <w:rsid w:val="005842F6"/>
    <w:rsid w:val="00584451"/>
    <w:rsid w:val="00584516"/>
    <w:rsid w:val="00584552"/>
    <w:rsid w:val="005845AA"/>
    <w:rsid w:val="00584885"/>
    <w:rsid w:val="0058493E"/>
    <w:rsid w:val="00584DDE"/>
    <w:rsid w:val="00584F51"/>
    <w:rsid w:val="005852CE"/>
    <w:rsid w:val="00585522"/>
    <w:rsid w:val="005855D6"/>
    <w:rsid w:val="005857B4"/>
    <w:rsid w:val="00585A11"/>
    <w:rsid w:val="00585AFD"/>
    <w:rsid w:val="00585B05"/>
    <w:rsid w:val="00585B89"/>
    <w:rsid w:val="00585CDF"/>
    <w:rsid w:val="00585DAD"/>
    <w:rsid w:val="00586183"/>
    <w:rsid w:val="005865A9"/>
    <w:rsid w:val="00586CD1"/>
    <w:rsid w:val="00586CE5"/>
    <w:rsid w:val="00586D04"/>
    <w:rsid w:val="00587057"/>
    <w:rsid w:val="005870F4"/>
    <w:rsid w:val="00587278"/>
    <w:rsid w:val="005872C9"/>
    <w:rsid w:val="005872F6"/>
    <w:rsid w:val="00587316"/>
    <w:rsid w:val="005875CA"/>
    <w:rsid w:val="00587DE4"/>
    <w:rsid w:val="00587DE8"/>
    <w:rsid w:val="00590007"/>
    <w:rsid w:val="005901B4"/>
    <w:rsid w:val="005901B7"/>
    <w:rsid w:val="005905AE"/>
    <w:rsid w:val="00590849"/>
    <w:rsid w:val="0059092E"/>
    <w:rsid w:val="00590AB9"/>
    <w:rsid w:val="00590ED4"/>
    <w:rsid w:val="00590F6D"/>
    <w:rsid w:val="00591016"/>
    <w:rsid w:val="005910BB"/>
    <w:rsid w:val="00591642"/>
    <w:rsid w:val="005916EC"/>
    <w:rsid w:val="005917B2"/>
    <w:rsid w:val="005917DE"/>
    <w:rsid w:val="00591C13"/>
    <w:rsid w:val="00591C16"/>
    <w:rsid w:val="00591DDD"/>
    <w:rsid w:val="00592129"/>
    <w:rsid w:val="00592908"/>
    <w:rsid w:val="0059296A"/>
    <w:rsid w:val="00592F2A"/>
    <w:rsid w:val="00592FB1"/>
    <w:rsid w:val="0059300E"/>
    <w:rsid w:val="005930F7"/>
    <w:rsid w:val="005933C0"/>
    <w:rsid w:val="00593413"/>
    <w:rsid w:val="00593559"/>
    <w:rsid w:val="005935D9"/>
    <w:rsid w:val="00593615"/>
    <w:rsid w:val="00593C9F"/>
    <w:rsid w:val="00593E0E"/>
    <w:rsid w:val="005942E0"/>
    <w:rsid w:val="0059431D"/>
    <w:rsid w:val="005943E8"/>
    <w:rsid w:val="00594452"/>
    <w:rsid w:val="00594459"/>
    <w:rsid w:val="005946A9"/>
    <w:rsid w:val="005946E5"/>
    <w:rsid w:val="00594809"/>
    <w:rsid w:val="00594A1D"/>
    <w:rsid w:val="00594C5B"/>
    <w:rsid w:val="00594D27"/>
    <w:rsid w:val="00594E75"/>
    <w:rsid w:val="00594EFE"/>
    <w:rsid w:val="00594F2D"/>
    <w:rsid w:val="00595504"/>
    <w:rsid w:val="0059553C"/>
    <w:rsid w:val="0059554D"/>
    <w:rsid w:val="005958CF"/>
    <w:rsid w:val="00595A77"/>
    <w:rsid w:val="00595B32"/>
    <w:rsid w:val="00595D1A"/>
    <w:rsid w:val="00595EAF"/>
    <w:rsid w:val="00595F13"/>
    <w:rsid w:val="00596081"/>
    <w:rsid w:val="005960D1"/>
    <w:rsid w:val="00596216"/>
    <w:rsid w:val="00596356"/>
    <w:rsid w:val="0059666D"/>
    <w:rsid w:val="0059699F"/>
    <w:rsid w:val="00596E24"/>
    <w:rsid w:val="00596F34"/>
    <w:rsid w:val="00596F62"/>
    <w:rsid w:val="00597047"/>
    <w:rsid w:val="005972FE"/>
    <w:rsid w:val="00597384"/>
    <w:rsid w:val="00597406"/>
    <w:rsid w:val="005975AA"/>
    <w:rsid w:val="005975CC"/>
    <w:rsid w:val="005975F1"/>
    <w:rsid w:val="00597753"/>
    <w:rsid w:val="005978AE"/>
    <w:rsid w:val="005979DA"/>
    <w:rsid w:val="00597E96"/>
    <w:rsid w:val="00597EDB"/>
    <w:rsid w:val="005A0067"/>
    <w:rsid w:val="005A036B"/>
    <w:rsid w:val="005A037F"/>
    <w:rsid w:val="005A04D1"/>
    <w:rsid w:val="005A0710"/>
    <w:rsid w:val="005A07DD"/>
    <w:rsid w:val="005A07E6"/>
    <w:rsid w:val="005A08A9"/>
    <w:rsid w:val="005A09CB"/>
    <w:rsid w:val="005A1815"/>
    <w:rsid w:val="005A1934"/>
    <w:rsid w:val="005A1B8A"/>
    <w:rsid w:val="005A1E2D"/>
    <w:rsid w:val="005A2724"/>
    <w:rsid w:val="005A281A"/>
    <w:rsid w:val="005A2843"/>
    <w:rsid w:val="005A299D"/>
    <w:rsid w:val="005A29EE"/>
    <w:rsid w:val="005A29F1"/>
    <w:rsid w:val="005A2B1F"/>
    <w:rsid w:val="005A2E8E"/>
    <w:rsid w:val="005A32FD"/>
    <w:rsid w:val="005A344B"/>
    <w:rsid w:val="005A3A46"/>
    <w:rsid w:val="005A3B0D"/>
    <w:rsid w:val="005A3B53"/>
    <w:rsid w:val="005A3CB3"/>
    <w:rsid w:val="005A3DDC"/>
    <w:rsid w:val="005A3ED1"/>
    <w:rsid w:val="005A400C"/>
    <w:rsid w:val="005A42DB"/>
    <w:rsid w:val="005A433C"/>
    <w:rsid w:val="005A47EB"/>
    <w:rsid w:val="005A484D"/>
    <w:rsid w:val="005A4974"/>
    <w:rsid w:val="005A4A8E"/>
    <w:rsid w:val="005A4B94"/>
    <w:rsid w:val="005A4C92"/>
    <w:rsid w:val="005A4CF7"/>
    <w:rsid w:val="005A4E5D"/>
    <w:rsid w:val="005A4EB6"/>
    <w:rsid w:val="005A4FC6"/>
    <w:rsid w:val="005A5007"/>
    <w:rsid w:val="005A50ED"/>
    <w:rsid w:val="005A5174"/>
    <w:rsid w:val="005A51DB"/>
    <w:rsid w:val="005A5430"/>
    <w:rsid w:val="005A5446"/>
    <w:rsid w:val="005A577F"/>
    <w:rsid w:val="005A5822"/>
    <w:rsid w:val="005A5AB3"/>
    <w:rsid w:val="005A5BCD"/>
    <w:rsid w:val="005A5E82"/>
    <w:rsid w:val="005A619E"/>
    <w:rsid w:val="005A6312"/>
    <w:rsid w:val="005A6387"/>
    <w:rsid w:val="005A63ED"/>
    <w:rsid w:val="005A644B"/>
    <w:rsid w:val="005A6874"/>
    <w:rsid w:val="005A687F"/>
    <w:rsid w:val="005A6937"/>
    <w:rsid w:val="005A6BAC"/>
    <w:rsid w:val="005A6EA0"/>
    <w:rsid w:val="005A700D"/>
    <w:rsid w:val="005A70F8"/>
    <w:rsid w:val="005A72D7"/>
    <w:rsid w:val="005A7458"/>
    <w:rsid w:val="005A76FE"/>
    <w:rsid w:val="005A792C"/>
    <w:rsid w:val="005A79E2"/>
    <w:rsid w:val="005A7BAB"/>
    <w:rsid w:val="005A7CD0"/>
    <w:rsid w:val="005A7E46"/>
    <w:rsid w:val="005A7ED0"/>
    <w:rsid w:val="005B0121"/>
    <w:rsid w:val="005B018F"/>
    <w:rsid w:val="005B01E2"/>
    <w:rsid w:val="005B0239"/>
    <w:rsid w:val="005B047C"/>
    <w:rsid w:val="005B0556"/>
    <w:rsid w:val="005B0895"/>
    <w:rsid w:val="005B0955"/>
    <w:rsid w:val="005B0AE5"/>
    <w:rsid w:val="005B0D90"/>
    <w:rsid w:val="005B0E4F"/>
    <w:rsid w:val="005B0F1F"/>
    <w:rsid w:val="005B0F72"/>
    <w:rsid w:val="005B10FB"/>
    <w:rsid w:val="005B124B"/>
    <w:rsid w:val="005B132A"/>
    <w:rsid w:val="005B1439"/>
    <w:rsid w:val="005B144E"/>
    <w:rsid w:val="005B1524"/>
    <w:rsid w:val="005B1659"/>
    <w:rsid w:val="005B165A"/>
    <w:rsid w:val="005B1763"/>
    <w:rsid w:val="005B1A26"/>
    <w:rsid w:val="005B1C49"/>
    <w:rsid w:val="005B21E2"/>
    <w:rsid w:val="005B2203"/>
    <w:rsid w:val="005B22F7"/>
    <w:rsid w:val="005B24FF"/>
    <w:rsid w:val="005B25C8"/>
    <w:rsid w:val="005B2669"/>
    <w:rsid w:val="005B271A"/>
    <w:rsid w:val="005B27B6"/>
    <w:rsid w:val="005B27F6"/>
    <w:rsid w:val="005B29E7"/>
    <w:rsid w:val="005B2D1B"/>
    <w:rsid w:val="005B2E9D"/>
    <w:rsid w:val="005B3310"/>
    <w:rsid w:val="005B3323"/>
    <w:rsid w:val="005B3368"/>
    <w:rsid w:val="005B353E"/>
    <w:rsid w:val="005B3639"/>
    <w:rsid w:val="005B39DE"/>
    <w:rsid w:val="005B3AB9"/>
    <w:rsid w:val="005B3C18"/>
    <w:rsid w:val="005B3F42"/>
    <w:rsid w:val="005B416F"/>
    <w:rsid w:val="005B43F3"/>
    <w:rsid w:val="005B47C0"/>
    <w:rsid w:val="005B47CC"/>
    <w:rsid w:val="005B4AC4"/>
    <w:rsid w:val="005B4CCA"/>
    <w:rsid w:val="005B4E93"/>
    <w:rsid w:val="005B5006"/>
    <w:rsid w:val="005B506B"/>
    <w:rsid w:val="005B5568"/>
    <w:rsid w:val="005B57F6"/>
    <w:rsid w:val="005B5992"/>
    <w:rsid w:val="005B5C0A"/>
    <w:rsid w:val="005B6157"/>
    <w:rsid w:val="005B6180"/>
    <w:rsid w:val="005B6373"/>
    <w:rsid w:val="005B690A"/>
    <w:rsid w:val="005B69F2"/>
    <w:rsid w:val="005B6CA1"/>
    <w:rsid w:val="005B6DD7"/>
    <w:rsid w:val="005B6E60"/>
    <w:rsid w:val="005B71AB"/>
    <w:rsid w:val="005B7979"/>
    <w:rsid w:val="005B79A9"/>
    <w:rsid w:val="005B7C6C"/>
    <w:rsid w:val="005B7D26"/>
    <w:rsid w:val="005C0002"/>
    <w:rsid w:val="005C0020"/>
    <w:rsid w:val="005C0156"/>
    <w:rsid w:val="005C028A"/>
    <w:rsid w:val="005C040C"/>
    <w:rsid w:val="005C070C"/>
    <w:rsid w:val="005C07E7"/>
    <w:rsid w:val="005C08E8"/>
    <w:rsid w:val="005C0C2E"/>
    <w:rsid w:val="005C0E13"/>
    <w:rsid w:val="005C10A4"/>
    <w:rsid w:val="005C1472"/>
    <w:rsid w:val="005C1528"/>
    <w:rsid w:val="005C1601"/>
    <w:rsid w:val="005C1C2F"/>
    <w:rsid w:val="005C1C74"/>
    <w:rsid w:val="005C23A7"/>
    <w:rsid w:val="005C24C9"/>
    <w:rsid w:val="005C2519"/>
    <w:rsid w:val="005C2603"/>
    <w:rsid w:val="005C2863"/>
    <w:rsid w:val="005C28D1"/>
    <w:rsid w:val="005C2DEF"/>
    <w:rsid w:val="005C31D2"/>
    <w:rsid w:val="005C3245"/>
    <w:rsid w:val="005C328B"/>
    <w:rsid w:val="005C37FB"/>
    <w:rsid w:val="005C3956"/>
    <w:rsid w:val="005C3AAD"/>
    <w:rsid w:val="005C3BF6"/>
    <w:rsid w:val="005C3C20"/>
    <w:rsid w:val="005C3D70"/>
    <w:rsid w:val="005C3E9C"/>
    <w:rsid w:val="005C4316"/>
    <w:rsid w:val="005C4330"/>
    <w:rsid w:val="005C4468"/>
    <w:rsid w:val="005C46F6"/>
    <w:rsid w:val="005C4904"/>
    <w:rsid w:val="005C492C"/>
    <w:rsid w:val="005C4AD1"/>
    <w:rsid w:val="005C4B19"/>
    <w:rsid w:val="005C4C62"/>
    <w:rsid w:val="005C4D57"/>
    <w:rsid w:val="005C4E0E"/>
    <w:rsid w:val="005C4F73"/>
    <w:rsid w:val="005C4FD0"/>
    <w:rsid w:val="005C5161"/>
    <w:rsid w:val="005C5384"/>
    <w:rsid w:val="005C56B9"/>
    <w:rsid w:val="005C5762"/>
    <w:rsid w:val="005C5A25"/>
    <w:rsid w:val="005C5A9F"/>
    <w:rsid w:val="005C5D87"/>
    <w:rsid w:val="005C5DE7"/>
    <w:rsid w:val="005C609A"/>
    <w:rsid w:val="005C60C7"/>
    <w:rsid w:val="005C6305"/>
    <w:rsid w:val="005C64B0"/>
    <w:rsid w:val="005C6570"/>
    <w:rsid w:val="005C660F"/>
    <w:rsid w:val="005C66B0"/>
    <w:rsid w:val="005C6778"/>
    <w:rsid w:val="005C67DD"/>
    <w:rsid w:val="005C6C14"/>
    <w:rsid w:val="005C6FA9"/>
    <w:rsid w:val="005C732F"/>
    <w:rsid w:val="005C739B"/>
    <w:rsid w:val="005C7755"/>
    <w:rsid w:val="005C7B20"/>
    <w:rsid w:val="005C7B3E"/>
    <w:rsid w:val="005C7B99"/>
    <w:rsid w:val="005C7D28"/>
    <w:rsid w:val="005C7EBA"/>
    <w:rsid w:val="005D01F0"/>
    <w:rsid w:val="005D026C"/>
    <w:rsid w:val="005D0274"/>
    <w:rsid w:val="005D0B4C"/>
    <w:rsid w:val="005D0D18"/>
    <w:rsid w:val="005D1342"/>
    <w:rsid w:val="005D1412"/>
    <w:rsid w:val="005D146A"/>
    <w:rsid w:val="005D14B0"/>
    <w:rsid w:val="005D1654"/>
    <w:rsid w:val="005D16B4"/>
    <w:rsid w:val="005D1A6C"/>
    <w:rsid w:val="005D1D20"/>
    <w:rsid w:val="005D20F0"/>
    <w:rsid w:val="005D2161"/>
    <w:rsid w:val="005D252A"/>
    <w:rsid w:val="005D266F"/>
    <w:rsid w:val="005D28FD"/>
    <w:rsid w:val="005D298C"/>
    <w:rsid w:val="005D2994"/>
    <w:rsid w:val="005D2B67"/>
    <w:rsid w:val="005D2B70"/>
    <w:rsid w:val="005D2DDB"/>
    <w:rsid w:val="005D30F7"/>
    <w:rsid w:val="005D3113"/>
    <w:rsid w:val="005D33C4"/>
    <w:rsid w:val="005D343C"/>
    <w:rsid w:val="005D35E2"/>
    <w:rsid w:val="005D3663"/>
    <w:rsid w:val="005D39FC"/>
    <w:rsid w:val="005D3A7E"/>
    <w:rsid w:val="005D3A9E"/>
    <w:rsid w:val="005D3B33"/>
    <w:rsid w:val="005D3D31"/>
    <w:rsid w:val="005D40E0"/>
    <w:rsid w:val="005D4243"/>
    <w:rsid w:val="005D4290"/>
    <w:rsid w:val="005D42F3"/>
    <w:rsid w:val="005D44DB"/>
    <w:rsid w:val="005D456F"/>
    <w:rsid w:val="005D45B8"/>
    <w:rsid w:val="005D46DB"/>
    <w:rsid w:val="005D4BAC"/>
    <w:rsid w:val="005D4E50"/>
    <w:rsid w:val="005D4EEB"/>
    <w:rsid w:val="005D4FF3"/>
    <w:rsid w:val="005D50F2"/>
    <w:rsid w:val="005D51A8"/>
    <w:rsid w:val="005D526B"/>
    <w:rsid w:val="005D531A"/>
    <w:rsid w:val="005D5338"/>
    <w:rsid w:val="005D5558"/>
    <w:rsid w:val="005D5783"/>
    <w:rsid w:val="005D5E91"/>
    <w:rsid w:val="005D5EBD"/>
    <w:rsid w:val="005D6149"/>
    <w:rsid w:val="005D61B4"/>
    <w:rsid w:val="005D61B9"/>
    <w:rsid w:val="005D628D"/>
    <w:rsid w:val="005D62A1"/>
    <w:rsid w:val="005D6725"/>
    <w:rsid w:val="005D69C7"/>
    <w:rsid w:val="005D6E13"/>
    <w:rsid w:val="005D70C4"/>
    <w:rsid w:val="005D725E"/>
    <w:rsid w:val="005D7290"/>
    <w:rsid w:val="005D7442"/>
    <w:rsid w:val="005D782B"/>
    <w:rsid w:val="005D7BF5"/>
    <w:rsid w:val="005D7D52"/>
    <w:rsid w:val="005D7F75"/>
    <w:rsid w:val="005E0067"/>
    <w:rsid w:val="005E050E"/>
    <w:rsid w:val="005E0AB0"/>
    <w:rsid w:val="005E0B74"/>
    <w:rsid w:val="005E0FEA"/>
    <w:rsid w:val="005E107E"/>
    <w:rsid w:val="005E117D"/>
    <w:rsid w:val="005E131C"/>
    <w:rsid w:val="005E1439"/>
    <w:rsid w:val="005E1506"/>
    <w:rsid w:val="005E15E1"/>
    <w:rsid w:val="005E166D"/>
    <w:rsid w:val="005E17ED"/>
    <w:rsid w:val="005E19BE"/>
    <w:rsid w:val="005E1D2F"/>
    <w:rsid w:val="005E1DB7"/>
    <w:rsid w:val="005E1EAF"/>
    <w:rsid w:val="005E1EB1"/>
    <w:rsid w:val="005E23E0"/>
    <w:rsid w:val="005E250F"/>
    <w:rsid w:val="005E25DA"/>
    <w:rsid w:val="005E2805"/>
    <w:rsid w:val="005E2AE8"/>
    <w:rsid w:val="005E2E82"/>
    <w:rsid w:val="005E2F89"/>
    <w:rsid w:val="005E3123"/>
    <w:rsid w:val="005E3249"/>
    <w:rsid w:val="005E33FE"/>
    <w:rsid w:val="005E37C2"/>
    <w:rsid w:val="005E3BB0"/>
    <w:rsid w:val="005E46BD"/>
    <w:rsid w:val="005E4DD8"/>
    <w:rsid w:val="005E50AC"/>
    <w:rsid w:val="005E50BC"/>
    <w:rsid w:val="005E518E"/>
    <w:rsid w:val="005E556E"/>
    <w:rsid w:val="005E5613"/>
    <w:rsid w:val="005E5680"/>
    <w:rsid w:val="005E5AD8"/>
    <w:rsid w:val="005E5BEF"/>
    <w:rsid w:val="005E5D69"/>
    <w:rsid w:val="005E5F31"/>
    <w:rsid w:val="005E626B"/>
    <w:rsid w:val="005E634A"/>
    <w:rsid w:val="005E6571"/>
    <w:rsid w:val="005E65FC"/>
    <w:rsid w:val="005E675C"/>
    <w:rsid w:val="005E6990"/>
    <w:rsid w:val="005E6AF5"/>
    <w:rsid w:val="005E6DC7"/>
    <w:rsid w:val="005E7019"/>
    <w:rsid w:val="005E71BF"/>
    <w:rsid w:val="005E725E"/>
    <w:rsid w:val="005E73B2"/>
    <w:rsid w:val="005E7467"/>
    <w:rsid w:val="005E74A5"/>
    <w:rsid w:val="005E76CF"/>
    <w:rsid w:val="005E76FB"/>
    <w:rsid w:val="005E786C"/>
    <w:rsid w:val="005E78A1"/>
    <w:rsid w:val="005E7977"/>
    <w:rsid w:val="005E7C3F"/>
    <w:rsid w:val="005E7C4C"/>
    <w:rsid w:val="005E7F65"/>
    <w:rsid w:val="005F0053"/>
    <w:rsid w:val="005F00CC"/>
    <w:rsid w:val="005F0720"/>
    <w:rsid w:val="005F0A7C"/>
    <w:rsid w:val="005F0A90"/>
    <w:rsid w:val="005F0BC9"/>
    <w:rsid w:val="005F0DD4"/>
    <w:rsid w:val="005F0EBC"/>
    <w:rsid w:val="005F1154"/>
    <w:rsid w:val="005F120E"/>
    <w:rsid w:val="005F129E"/>
    <w:rsid w:val="005F1324"/>
    <w:rsid w:val="005F15FF"/>
    <w:rsid w:val="005F178D"/>
    <w:rsid w:val="005F1A42"/>
    <w:rsid w:val="005F1C2D"/>
    <w:rsid w:val="005F1C30"/>
    <w:rsid w:val="005F1CF5"/>
    <w:rsid w:val="005F1F8A"/>
    <w:rsid w:val="005F1FF4"/>
    <w:rsid w:val="005F208A"/>
    <w:rsid w:val="005F21F9"/>
    <w:rsid w:val="005F221C"/>
    <w:rsid w:val="005F2266"/>
    <w:rsid w:val="005F234A"/>
    <w:rsid w:val="005F275E"/>
    <w:rsid w:val="005F2F40"/>
    <w:rsid w:val="005F3067"/>
    <w:rsid w:val="005F3136"/>
    <w:rsid w:val="005F32A3"/>
    <w:rsid w:val="005F3573"/>
    <w:rsid w:val="005F3A7F"/>
    <w:rsid w:val="005F3C31"/>
    <w:rsid w:val="005F3D00"/>
    <w:rsid w:val="005F3E17"/>
    <w:rsid w:val="005F3E45"/>
    <w:rsid w:val="005F404A"/>
    <w:rsid w:val="005F4267"/>
    <w:rsid w:val="005F459C"/>
    <w:rsid w:val="005F4789"/>
    <w:rsid w:val="005F482F"/>
    <w:rsid w:val="005F4AD6"/>
    <w:rsid w:val="005F4B6A"/>
    <w:rsid w:val="005F4B88"/>
    <w:rsid w:val="005F517D"/>
    <w:rsid w:val="005F51A7"/>
    <w:rsid w:val="005F52EA"/>
    <w:rsid w:val="005F5593"/>
    <w:rsid w:val="005F5859"/>
    <w:rsid w:val="005F5883"/>
    <w:rsid w:val="005F5A4B"/>
    <w:rsid w:val="005F5ADD"/>
    <w:rsid w:val="005F5CC9"/>
    <w:rsid w:val="005F5F43"/>
    <w:rsid w:val="005F61B3"/>
    <w:rsid w:val="005F62F3"/>
    <w:rsid w:val="005F63CA"/>
    <w:rsid w:val="005F66D7"/>
    <w:rsid w:val="005F66F0"/>
    <w:rsid w:val="005F6780"/>
    <w:rsid w:val="005F6B7E"/>
    <w:rsid w:val="005F706B"/>
    <w:rsid w:val="005F7076"/>
    <w:rsid w:val="005F7243"/>
    <w:rsid w:val="005F76EF"/>
    <w:rsid w:val="005F79AC"/>
    <w:rsid w:val="0060054B"/>
    <w:rsid w:val="00600AEE"/>
    <w:rsid w:val="00600BC0"/>
    <w:rsid w:val="00600D12"/>
    <w:rsid w:val="00600F4D"/>
    <w:rsid w:val="006012A1"/>
    <w:rsid w:val="0060145A"/>
    <w:rsid w:val="00601990"/>
    <w:rsid w:val="006019E9"/>
    <w:rsid w:val="00601C5B"/>
    <w:rsid w:val="00601CA1"/>
    <w:rsid w:val="00601CCE"/>
    <w:rsid w:val="00601CFF"/>
    <w:rsid w:val="00601D7B"/>
    <w:rsid w:val="0060214B"/>
    <w:rsid w:val="006021F7"/>
    <w:rsid w:val="006022E9"/>
    <w:rsid w:val="00602506"/>
    <w:rsid w:val="006028F3"/>
    <w:rsid w:val="00603037"/>
    <w:rsid w:val="006031A5"/>
    <w:rsid w:val="006031A7"/>
    <w:rsid w:val="006032A9"/>
    <w:rsid w:val="006032D6"/>
    <w:rsid w:val="00603333"/>
    <w:rsid w:val="0060345A"/>
    <w:rsid w:val="0060351B"/>
    <w:rsid w:val="006035E9"/>
    <w:rsid w:val="00603750"/>
    <w:rsid w:val="0060387C"/>
    <w:rsid w:val="006038D5"/>
    <w:rsid w:val="00603918"/>
    <w:rsid w:val="00603C43"/>
    <w:rsid w:val="00603FF7"/>
    <w:rsid w:val="00604108"/>
    <w:rsid w:val="00604309"/>
    <w:rsid w:val="0060434C"/>
    <w:rsid w:val="006047E9"/>
    <w:rsid w:val="00604D1B"/>
    <w:rsid w:val="00604DCF"/>
    <w:rsid w:val="00604F0E"/>
    <w:rsid w:val="00605085"/>
    <w:rsid w:val="00605454"/>
    <w:rsid w:val="00605550"/>
    <w:rsid w:val="00605585"/>
    <w:rsid w:val="00605597"/>
    <w:rsid w:val="00605820"/>
    <w:rsid w:val="006058C2"/>
    <w:rsid w:val="006059C2"/>
    <w:rsid w:val="00605D58"/>
    <w:rsid w:val="00605E44"/>
    <w:rsid w:val="00605F4E"/>
    <w:rsid w:val="0060622E"/>
    <w:rsid w:val="0060644A"/>
    <w:rsid w:val="00606A74"/>
    <w:rsid w:val="00606B28"/>
    <w:rsid w:val="00607028"/>
    <w:rsid w:val="00607557"/>
    <w:rsid w:val="006076FC"/>
    <w:rsid w:val="00607960"/>
    <w:rsid w:val="00607AF0"/>
    <w:rsid w:val="00607B53"/>
    <w:rsid w:val="00607B5A"/>
    <w:rsid w:val="00607BB9"/>
    <w:rsid w:val="00607E53"/>
    <w:rsid w:val="006108D2"/>
    <w:rsid w:val="00610A21"/>
    <w:rsid w:val="00610ADF"/>
    <w:rsid w:val="00610BBF"/>
    <w:rsid w:val="00610DAF"/>
    <w:rsid w:val="0061105B"/>
    <w:rsid w:val="006111BC"/>
    <w:rsid w:val="006111C5"/>
    <w:rsid w:val="00611988"/>
    <w:rsid w:val="00611A68"/>
    <w:rsid w:val="00611E23"/>
    <w:rsid w:val="00611EA6"/>
    <w:rsid w:val="00612246"/>
    <w:rsid w:val="00612454"/>
    <w:rsid w:val="00612588"/>
    <w:rsid w:val="006127C1"/>
    <w:rsid w:val="006128D1"/>
    <w:rsid w:val="00612A20"/>
    <w:rsid w:val="00612AA4"/>
    <w:rsid w:val="00613148"/>
    <w:rsid w:val="00613572"/>
    <w:rsid w:val="00613604"/>
    <w:rsid w:val="006136BB"/>
    <w:rsid w:val="006137B0"/>
    <w:rsid w:val="00613A2A"/>
    <w:rsid w:val="00613D9A"/>
    <w:rsid w:val="00613EE5"/>
    <w:rsid w:val="00613F82"/>
    <w:rsid w:val="00614508"/>
    <w:rsid w:val="00614AC0"/>
    <w:rsid w:val="00614B5A"/>
    <w:rsid w:val="00614BE5"/>
    <w:rsid w:val="006151A9"/>
    <w:rsid w:val="0061522F"/>
    <w:rsid w:val="006154B9"/>
    <w:rsid w:val="00615674"/>
    <w:rsid w:val="006158C8"/>
    <w:rsid w:val="00615FA2"/>
    <w:rsid w:val="00615FD4"/>
    <w:rsid w:val="00615FF9"/>
    <w:rsid w:val="00616078"/>
    <w:rsid w:val="00616297"/>
    <w:rsid w:val="00616348"/>
    <w:rsid w:val="00616369"/>
    <w:rsid w:val="0061670A"/>
    <w:rsid w:val="00616A47"/>
    <w:rsid w:val="00616D02"/>
    <w:rsid w:val="00616D33"/>
    <w:rsid w:val="00617038"/>
    <w:rsid w:val="006171D0"/>
    <w:rsid w:val="00617301"/>
    <w:rsid w:val="006173D7"/>
    <w:rsid w:val="006179F7"/>
    <w:rsid w:val="00617D43"/>
    <w:rsid w:val="00620135"/>
    <w:rsid w:val="0062049A"/>
    <w:rsid w:val="00620579"/>
    <w:rsid w:val="00620C52"/>
    <w:rsid w:val="006213BF"/>
    <w:rsid w:val="0062164F"/>
    <w:rsid w:val="006218A4"/>
    <w:rsid w:val="006218B4"/>
    <w:rsid w:val="006219B3"/>
    <w:rsid w:val="00621B30"/>
    <w:rsid w:val="00621E36"/>
    <w:rsid w:val="00621F6D"/>
    <w:rsid w:val="00622020"/>
    <w:rsid w:val="0062239E"/>
    <w:rsid w:val="0062262C"/>
    <w:rsid w:val="006227D4"/>
    <w:rsid w:val="0062299A"/>
    <w:rsid w:val="006229BA"/>
    <w:rsid w:val="006229F1"/>
    <w:rsid w:val="0062327C"/>
    <w:rsid w:val="006232BB"/>
    <w:rsid w:val="006238B8"/>
    <w:rsid w:val="00623965"/>
    <w:rsid w:val="00623BEB"/>
    <w:rsid w:val="00623C56"/>
    <w:rsid w:val="00623D17"/>
    <w:rsid w:val="00623D4F"/>
    <w:rsid w:val="0062410F"/>
    <w:rsid w:val="006243BA"/>
    <w:rsid w:val="00624574"/>
    <w:rsid w:val="00624746"/>
    <w:rsid w:val="00624884"/>
    <w:rsid w:val="00624A46"/>
    <w:rsid w:val="00624AC2"/>
    <w:rsid w:val="00624C38"/>
    <w:rsid w:val="00624CC0"/>
    <w:rsid w:val="006250F3"/>
    <w:rsid w:val="00625173"/>
    <w:rsid w:val="0062523A"/>
    <w:rsid w:val="006253D2"/>
    <w:rsid w:val="00625475"/>
    <w:rsid w:val="0062579C"/>
    <w:rsid w:val="006258B5"/>
    <w:rsid w:val="00625B53"/>
    <w:rsid w:val="006260E0"/>
    <w:rsid w:val="00626424"/>
    <w:rsid w:val="0062648E"/>
    <w:rsid w:val="00626526"/>
    <w:rsid w:val="00626797"/>
    <w:rsid w:val="006267FF"/>
    <w:rsid w:val="00626944"/>
    <w:rsid w:val="00626B48"/>
    <w:rsid w:val="00626B6B"/>
    <w:rsid w:val="00627167"/>
    <w:rsid w:val="0062724E"/>
    <w:rsid w:val="00627281"/>
    <w:rsid w:val="006276B9"/>
    <w:rsid w:val="00627755"/>
    <w:rsid w:val="00627790"/>
    <w:rsid w:val="006277F1"/>
    <w:rsid w:val="006278B6"/>
    <w:rsid w:val="006279A7"/>
    <w:rsid w:val="00627AE7"/>
    <w:rsid w:val="00627BF0"/>
    <w:rsid w:val="00627D08"/>
    <w:rsid w:val="00627E69"/>
    <w:rsid w:val="006303EB"/>
    <w:rsid w:val="006306B9"/>
    <w:rsid w:val="006308D7"/>
    <w:rsid w:val="00630A7B"/>
    <w:rsid w:val="00630A9D"/>
    <w:rsid w:val="00630E9B"/>
    <w:rsid w:val="00630F7D"/>
    <w:rsid w:val="00631DE7"/>
    <w:rsid w:val="00631DFC"/>
    <w:rsid w:val="00631E4D"/>
    <w:rsid w:val="00631FF0"/>
    <w:rsid w:val="0063206A"/>
    <w:rsid w:val="006322E3"/>
    <w:rsid w:val="0063247E"/>
    <w:rsid w:val="006326B7"/>
    <w:rsid w:val="00632AF8"/>
    <w:rsid w:val="00632B5D"/>
    <w:rsid w:val="006331E5"/>
    <w:rsid w:val="006334E1"/>
    <w:rsid w:val="00633724"/>
    <w:rsid w:val="00633768"/>
    <w:rsid w:val="0063395C"/>
    <w:rsid w:val="00633C66"/>
    <w:rsid w:val="006341C4"/>
    <w:rsid w:val="00634846"/>
    <w:rsid w:val="00634A9F"/>
    <w:rsid w:val="00634AEA"/>
    <w:rsid w:val="00634E14"/>
    <w:rsid w:val="00634F91"/>
    <w:rsid w:val="00635052"/>
    <w:rsid w:val="00635137"/>
    <w:rsid w:val="006352B6"/>
    <w:rsid w:val="006354B7"/>
    <w:rsid w:val="00635599"/>
    <w:rsid w:val="00635B05"/>
    <w:rsid w:val="00635EB4"/>
    <w:rsid w:val="006364EA"/>
    <w:rsid w:val="0063663C"/>
    <w:rsid w:val="0063668E"/>
    <w:rsid w:val="006369DD"/>
    <w:rsid w:val="00636A61"/>
    <w:rsid w:val="00636A7C"/>
    <w:rsid w:val="00636ABE"/>
    <w:rsid w:val="00636AC6"/>
    <w:rsid w:val="00636E02"/>
    <w:rsid w:val="006374AC"/>
    <w:rsid w:val="006375AE"/>
    <w:rsid w:val="006376E5"/>
    <w:rsid w:val="006377CA"/>
    <w:rsid w:val="006379F2"/>
    <w:rsid w:val="00637E9B"/>
    <w:rsid w:val="0064000C"/>
    <w:rsid w:val="0064029D"/>
    <w:rsid w:val="00640409"/>
    <w:rsid w:val="00640427"/>
    <w:rsid w:val="00640463"/>
    <w:rsid w:val="006404CD"/>
    <w:rsid w:val="006404E6"/>
    <w:rsid w:val="0064062B"/>
    <w:rsid w:val="0064062D"/>
    <w:rsid w:val="0064064A"/>
    <w:rsid w:val="00640D70"/>
    <w:rsid w:val="00640DE4"/>
    <w:rsid w:val="0064137E"/>
    <w:rsid w:val="00641548"/>
    <w:rsid w:val="00641747"/>
    <w:rsid w:val="00641889"/>
    <w:rsid w:val="00641D58"/>
    <w:rsid w:val="00641D88"/>
    <w:rsid w:val="00641F8A"/>
    <w:rsid w:val="00642173"/>
    <w:rsid w:val="006421E9"/>
    <w:rsid w:val="0064220B"/>
    <w:rsid w:val="006422A4"/>
    <w:rsid w:val="006422D2"/>
    <w:rsid w:val="00642356"/>
    <w:rsid w:val="00642364"/>
    <w:rsid w:val="0064264D"/>
    <w:rsid w:val="00642794"/>
    <w:rsid w:val="00642D5C"/>
    <w:rsid w:val="0064301B"/>
    <w:rsid w:val="006430A0"/>
    <w:rsid w:val="00643430"/>
    <w:rsid w:val="0064345C"/>
    <w:rsid w:val="006437B2"/>
    <w:rsid w:val="0064393F"/>
    <w:rsid w:val="00643A4C"/>
    <w:rsid w:val="00643BC4"/>
    <w:rsid w:val="00643CD6"/>
    <w:rsid w:val="00643CDF"/>
    <w:rsid w:val="006441E9"/>
    <w:rsid w:val="006444FD"/>
    <w:rsid w:val="00644647"/>
    <w:rsid w:val="00644671"/>
    <w:rsid w:val="00644AD0"/>
    <w:rsid w:val="00644DFB"/>
    <w:rsid w:val="00644EA5"/>
    <w:rsid w:val="006456FE"/>
    <w:rsid w:val="006457B0"/>
    <w:rsid w:val="006457B2"/>
    <w:rsid w:val="006459FE"/>
    <w:rsid w:val="00645B5E"/>
    <w:rsid w:val="00645B99"/>
    <w:rsid w:val="00645CA4"/>
    <w:rsid w:val="006460B8"/>
    <w:rsid w:val="00646125"/>
    <w:rsid w:val="00646261"/>
    <w:rsid w:val="00646265"/>
    <w:rsid w:val="00646359"/>
    <w:rsid w:val="00646367"/>
    <w:rsid w:val="0064664B"/>
    <w:rsid w:val="006466C5"/>
    <w:rsid w:val="00646BE4"/>
    <w:rsid w:val="00646E71"/>
    <w:rsid w:val="00646FC5"/>
    <w:rsid w:val="00647185"/>
    <w:rsid w:val="006473B4"/>
    <w:rsid w:val="0064763C"/>
    <w:rsid w:val="006476ED"/>
    <w:rsid w:val="006476F1"/>
    <w:rsid w:val="00647718"/>
    <w:rsid w:val="006477DD"/>
    <w:rsid w:val="00647C41"/>
    <w:rsid w:val="00647C74"/>
    <w:rsid w:val="00647D2A"/>
    <w:rsid w:val="00647DCD"/>
    <w:rsid w:val="00650380"/>
    <w:rsid w:val="0065039E"/>
    <w:rsid w:val="00650420"/>
    <w:rsid w:val="006506D9"/>
    <w:rsid w:val="00650782"/>
    <w:rsid w:val="006507D7"/>
    <w:rsid w:val="006509E7"/>
    <w:rsid w:val="00650D4B"/>
    <w:rsid w:val="00650DD1"/>
    <w:rsid w:val="00651079"/>
    <w:rsid w:val="006510B0"/>
    <w:rsid w:val="006514F6"/>
    <w:rsid w:val="0065157A"/>
    <w:rsid w:val="00651BBE"/>
    <w:rsid w:val="00651BC1"/>
    <w:rsid w:val="00651CD0"/>
    <w:rsid w:val="00651E76"/>
    <w:rsid w:val="00651E7C"/>
    <w:rsid w:val="00651EC2"/>
    <w:rsid w:val="00651EE6"/>
    <w:rsid w:val="00651F42"/>
    <w:rsid w:val="0065225D"/>
    <w:rsid w:val="006523B5"/>
    <w:rsid w:val="00652499"/>
    <w:rsid w:val="006525C2"/>
    <w:rsid w:val="00652986"/>
    <w:rsid w:val="00652C6A"/>
    <w:rsid w:val="00652EA5"/>
    <w:rsid w:val="0065301B"/>
    <w:rsid w:val="006534FF"/>
    <w:rsid w:val="006535AE"/>
    <w:rsid w:val="006536D2"/>
    <w:rsid w:val="00653864"/>
    <w:rsid w:val="006538BE"/>
    <w:rsid w:val="006539B7"/>
    <w:rsid w:val="006539EA"/>
    <w:rsid w:val="00653AD5"/>
    <w:rsid w:val="00653B67"/>
    <w:rsid w:val="00653EA6"/>
    <w:rsid w:val="00654037"/>
    <w:rsid w:val="006541B4"/>
    <w:rsid w:val="00654292"/>
    <w:rsid w:val="0065464A"/>
    <w:rsid w:val="0065476F"/>
    <w:rsid w:val="006548C9"/>
    <w:rsid w:val="00654982"/>
    <w:rsid w:val="00654A7B"/>
    <w:rsid w:val="00654C1C"/>
    <w:rsid w:val="00654C45"/>
    <w:rsid w:val="00654DE5"/>
    <w:rsid w:val="00654F4F"/>
    <w:rsid w:val="00655076"/>
    <w:rsid w:val="0065567A"/>
    <w:rsid w:val="006556AB"/>
    <w:rsid w:val="006556D2"/>
    <w:rsid w:val="0065584F"/>
    <w:rsid w:val="00655A6B"/>
    <w:rsid w:val="00655CB2"/>
    <w:rsid w:val="00655D76"/>
    <w:rsid w:val="00655D8E"/>
    <w:rsid w:val="00655E21"/>
    <w:rsid w:val="0065608F"/>
    <w:rsid w:val="006560BD"/>
    <w:rsid w:val="0065620B"/>
    <w:rsid w:val="0065623C"/>
    <w:rsid w:val="00656345"/>
    <w:rsid w:val="00656B41"/>
    <w:rsid w:val="006570BD"/>
    <w:rsid w:val="00657116"/>
    <w:rsid w:val="0065714C"/>
    <w:rsid w:val="006573DD"/>
    <w:rsid w:val="006574CB"/>
    <w:rsid w:val="00657564"/>
    <w:rsid w:val="006579F8"/>
    <w:rsid w:val="00657A21"/>
    <w:rsid w:val="00657D06"/>
    <w:rsid w:val="00657F1C"/>
    <w:rsid w:val="00657F5A"/>
    <w:rsid w:val="00657FA1"/>
    <w:rsid w:val="00660164"/>
    <w:rsid w:val="00660239"/>
    <w:rsid w:val="006605D4"/>
    <w:rsid w:val="006605DB"/>
    <w:rsid w:val="006605E0"/>
    <w:rsid w:val="0066069D"/>
    <w:rsid w:val="0066071E"/>
    <w:rsid w:val="00660745"/>
    <w:rsid w:val="00660A88"/>
    <w:rsid w:val="00660C9B"/>
    <w:rsid w:val="00660CD1"/>
    <w:rsid w:val="00660E30"/>
    <w:rsid w:val="00660F2D"/>
    <w:rsid w:val="00660F92"/>
    <w:rsid w:val="0066118B"/>
    <w:rsid w:val="0066122F"/>
    <w:rsid w:val="006614D2"/>
    <w:rsid w:val="006614EE"/>
    <w:rsid w:val="0066175E"/>
    <w:rsid w:val="0066177F"/>
    <w:rsid w:val="006617EB"/>
    <w:rsid w:val="006618F1"/>
    <w:rsid w:val="00661959"/>
    <w:rsid w:val="00661BAA"/>
    <w:rsid w:val="00661EFE"/>
    <w:rsid w:val="0066204A"/>
    <w:rsid w:val="006623FA"/>
    <w:rsid w:val="00662821"/>
    <w:rsid w:val="00662907"/>
    <w:rsid w:val="00662E1B"/>
    <w:rsid w:val="00663018"/>
    <w:rsid w:val="00663169"/>
    <w:rsid w:val="00663170"/>
    <w:rsid w:val="0066317E"/>
    <w:rsid w:val="0066321A"/>
    <w:rsid w:val="00663512"/>
    <w:rsid w:val="006637D4"/>
    <w:rsid w:val="00663AC6"/>
    <w:rsid w:val="00663DB7"/>
    <w:rsid w:val="00663FED"/>
    <w:rsid w:val="006642ED"/>
    <w:rsid w:val="006644E0"/>
    <w:rsid w:val="0066455E"/>
    <w:rsid w:val="006647A9"/>
    <w:rsid w:val="00664B84"/>
    <w:rsid w:val="00664C69"/>
    <w:rsid w:val="0066513D"/>
    <w:rsid w:val="006651DA"/>
    <w:rsid w:val="006653E5"/>
    <w:rsid w:val="0066557F"/>
    <w:rsid w:val="0066562A"/>
    <w:rsid w:val="006658BB"/>
    <w:rsid w:val="00665983"/>
    <w:rsid w:val="00665BAC"/>
    <w:rsid w:val="00665CE7"/>
    <w:rsid w:val="00665E12"/>
    <w:rsid w:val="00665E44"/>
    <w:rsid w:val="00665EDD"/>
    <w:rsid w:val="00666060"/>
    <w:rsid w:val="00666069"/>
    <w:rsid w:val="006660F6"/>
    <w:rsid w:val="0066699D"/>
    <w:rsid w:val="00666A3C"/>
    <w:rsid w:val="00666E52"/>
    <w:rsid w:val="0066716F"/>
    <w:rsid w:val="00667221"/>
    <w:rsid w:val="006675EC"/>
    <w:rsid w:val="0066781B"/>
    <w:rsid w:val="00667AF4"/>
    <w:rsid w:val="00667B74"/>
    <w:rsid w:val="006701AC"/>
    <w:rsid w:val="00670210"/>
    <w:rsid w:val="00670339"/>
    <w:rsid w:val="006706E6"/>
    <w:rsid w:val="0067080D"/>
    <w:rsid w:val="0067092D"/>
    <w:rsid w:val="00670B00"/>
    <w:rsid w:val="00670DE3"/>
    <w:rsid w:val="00670E76"/>
    <w:rsid w:val="0067137D"/>
    <w:rsid w:val="006716CA"/>
    <w:rsid w:val="006717A1"/>
    <w:rsid w:val="0067194F"/>
    <w:rsid w:val="00671C43"/>
    <w:rsid w:val="00671DF3"/>
    <w:rsid w:val="00671FDF"/>
    <w:rsid w:val="0067207F"/>
    <w:rsid w:val="00672BB8"/>
    <w:rsid w:val="00672CC7"/>
    <w:rsid w:val="00672DC8"/>
    <w:rsid w:val="00672E6E"/>
    <w:rsid w:val="00673253"/>
    <w:rsid w:val="00673343"/>
    <w:rsid w:val="00673535"/>
    <w:rsid w:val="006737B8"/>
    <w:rsid w:val="00673877"/>
    <w:rsid w:val="0067396C"/>
    <w:rsid w:val="00673B34"/>
    <w:rsid w:val="00673B42"/>
    <w:rsid w:val="00673BF2"/>
    <w:rsid w:val="00674136"/>
    <w:rsid w:val="0067477D"/>
    <w:rsid w:val="00674964"/>
    <w:rsid w:val="00674AAB"/>
    <w:rsid w:val="00675183"/>
    <w:rsid w:val="006752C8"/>
    <w:rsid w:val="006753BE"/>
    <w:rsid w:val="00675401"/>
    <w:rsid w:val="00675561"/>
    <w:rsid w:val="006758AF"/>
    <w:rsid w:val="00675922"/>
    <w:rsid w:val="00675BFA"/>
    <w:rsid w:val="00675C62"/>
    <w:rsid w:val="00675CEB"/>
    <w:rsid w:val="006760D2"/>
    <w:rsid w:val="00676278"/>
    <w:rsid w:val="00676286"/>
    <w:rsid w:val="006763C1"/>
    <w:rsid w:val="00676584"/>
    <w:rsid w:val="00676A6F"/>
    <w:rsid w:val="00676C62"/>
    <w:rsid w:val="00676D4F"/>
    <w:rsid w:val="00676D99"/>
    <w:rsid w:val="00677002"/>
    <w:rsid w:val="00677430"/>
    <w:rsid w:val="006777EC"/>
    <w:rsid w:val="00677A3D"/>
    <w:rsid w:val="00677E1C"/>
    <w:rsid w:val="00677FA4"/>
    <w:rsid w:val="00680006"/>
    <w:rsid w:val="00680363"/>
    <w:rsid w:val="006808AC"/>
    <w:rsid w:val="00680943"/>
    <w:rsid w:val="00680A8F"/>
    <w:rsid w:val="00680C0A"/>
    <w:rsid w:val="00681474"/>
    <w:rsid w:val="00681A04"/>
    <w:rsid w:val="00681AE7"/>
    <w:rsid w:val="00681C65"/>
    <w:rsid w:val="00682134"/>
    <w:rsid w:val="00682233"/>
    <w:rsid w:val="006822A5"/>
    <w:rsid w:val="00682328"/>
    <w:rsid w:val="00682516"/>
    <w:rsid w:val="006828A0"/>
    <w:rsid w:val="00682BD4"/>
    <w:rsid w:val="00683026"/>
    <w:rsid w:val="0068306C"/>
    <w:rsid w:val="006833FF"/>
    <w:rsid w:val="006834E2"/>
    <w:rsid w:val="00683695"/>
    <w:rsid w:val="00683B2A"/>
    <w:rsid w:val="00683C12"/>
    <w:rsid w:val="00683CBF"/>
    <w:rsid w:val="00683FAC"/>
    <w:rsid w:val="00683FFB"/>
    <w:rsid w:val="00684036"/>
    <w:rsid w:val="006840B9"/>
    <w:rsid w:val="00684165"/>
    <w:rsid w:val="00684225"/>
    <w:rsid w:val="006844F0"/>
    <w:rsid w:val="00684558"/>
    <w:rsid w:val="00684648"/>
    <w:rsid w:val="006848FD"/>
    <w:rsid w:val="0068497A"/>
    <w:rsid w:val="00684B25"/>
    <w:rsid w:val="00684CFB"/>
    <w:rsid w:val="00684DD3"/>
    <w:rsid w:val="00684EA8"/>
    <w:rsid w:val="00684EBF"/>
    <w:rsid w:val="0068561A"/>
    <w:rsid w:val="00685712"/>
    <w:rsid w:val="0068581A"/>
    <w:rsid w:val="0068588E"/>
    <w:rsid w:val="00685A21"/>
    <w:rsid w:val="00685C05"/>
    <w:rsid w:val="00685C42"/>
    <w:rsid w:val="00685F0A"/>
    <w:rsid w:val="00685F45"/>
    <w:rsid w:val="00685F5A"/>
    <w:rsid w:val="006861FC"/>
    <w:rsid w:val="006863BB"/>
    <w:rsid w:val="00686836"/>
    <w:rsid w:val="00686870"/>
    <w:rsid w:val="00686AE5"/>
    <w:rsid w:val="00686C6E"/>
    <w:rsid w:val="00686EEF"/>
    <w:rsid w:val="006871AB"/>
    <w:rsid w:val="006872AA"/>
    <w:rsid w:val="006875A9"/>
    <w:rsid w:val="00687878"/>
    <w:rsid w:val="00687A1A"/>
    <w:rsid w:val="00687BD6"/>
    <w:rsid w:val="00687FC2"/>
    <w:rsid w:val="006901DB"/>
    <w:rsid w:val="0069031D"/>
    <w:rsid w:val="00690381"/>
    <w:rsid w:val="006903E8"/>
    <w:rsid w:val="0069044C"/>
    <w:rsid w:val="00690463"/>
    <w:rsid w:val="00690540"/>
    <w:rsid w:val="00690597"/>
    <w:rsid w:val="00690657"/>
    <w:rsid w:val="00690886"/>
    <w:rsid w:val="00690D80"/>
    <w:rsid w:val="006911EE"/>
    <w:rsid w:val="006917B6"/>
    <w:rsid w:val="006918BE"/>
    <w:rsid w:val="00691987"/>
    <w:rsid w:val="00691A78"/>
    <w:rsid w:val="00691B47"/>
    <w:rsid w:val="00691D3D"/>
    <w:rsid w:val="00691F1D"/>
    <w:rsid w:val="00691F67"/>
    <w:rsid w:val="00692155"/>
    <w:rsid w:val="0069220C"/>
    <w:rsid w:val="0069268A"/>
    <w:rsid w:val="00692913"/>
    <w:rsid w:val="00692C82"/>
    <w:rsid w:val="00692D3F"/>
    <w:rsid w:val="00692E2D"/>
    <w:rsid w:val="00692E44"/>
    <w:rsid w:val="0069344D"/>
    <w:rsid w:val="00693681"/>
    <w:rsid w:val="006936CE"/>
    <w:rsid w:val="00693730"/>
    <w:rsid w:val="00693894"/>
    <w:rsid w:val="00693C83"/>
    <w:rsid w:val="0069404B"/>
    <w:rsid w:val="006940D2"/>
    <w:rsid w:val="0069460A"/>
    <w:rsid w:val="00694DE7"/>
    <w:rsid w:val="00694FAF"/>
    <w:rsid w:val="00695285"/>
    <w:rsid w:val="0069529C"/>
    <w:rsid w:val="0069547E"/>
    <w:rsid w:val="00695514"/>
    <w:rsid w:val="006955FF"/>
    <w:rsid w:val="00695652"/>
    <w:rsid w:val="00695758"/>
    <w:rsid w:val="0069575B"/>
    <w:rsid w:val="00695D41"/>
    <w:rsid w:val="00695F60"/>
    <w:rsid w:val="00696A8D"/>
    <w:rsid w:val="00696C97"/>
    <w:rsid w:val="00696FB0"/>
    <w:rsid w:val="0069705F"/>
    <w:rsid w:val="006971AF"/>
    <w:rsid w:val="006972C9"/>
    <w:rsid w:val="006974C7"/>
    <w:rsid w:val="00697928"/>
    <w:rsid w:val="00697CFF"/>
    <w:rsid w:val="00697F10"/>
    <w:rsid w:val="00697FBC"/>
    <w:rsid w:val="006A0053"/>
    <w:rsid w:val="006A0057"/>
    <w:rsid w:val="006A0835"/>
    <w:rsid w:val="006A0885"/>
    <w:rsid w:val="006A0B14"/>
    <w:rsid w:val="006A0BC6"/>
    <w:rsid w:val="006A0CF7"/>
    <w:rsid w:val="006A0D07"/>
    <w:rsid w:val="006A0F66"/>
    <w:rsid w:val="006A10A6"/>
    <w:rsid w:val="006A1218"/>
    <w:rsid w:val="006A13EF"/>
    <w:rsid w:val="006A1491"/>
    <w:rsid w:val="006A158C"/>
    <w:rsid w:val="006A15C3"/>
    <w:rsid w:val="006A1622"/>
    <w:rsid w:val="006A1695"/>
    <w:rsid w:val="006A16BB"/>
    <w:rsid w:val="006A1794"/>
    <w:rsid w:val="006A17CA"/>
    <w:rsid w:val="006A1976"/>
    <w:rsid w:val="006A1B33"/>
    <w:rsid w:val="006A1EC9"/>
    <w:rsid w:val="006A2171"/>
    <w:rsid w:val="006A233F"/>
    <w:rsid w:val="006A262C"/>
    <w:rsid w:val="006A2906"/>
    <w:rsid w:val="006A2A45"/>
    <w:rsid w:val="006A2C90"/>
    <w:rsid w:val="006A2DEE"/>
    <w:rsid w:val="006A2F8D"/>
    <w:rsid w:val="006A312D"/>
    <w:rsid w:val="006A33B1"/>
    <w:rsid w:val="006A36E0"/>
    <w:rsid w:val="006A371C"/>
    <w:rsid w:val="006A3919"/>
    <w:rsid w:val="006A397E"/>
    <w:rsid w:val="006A3EC6"/>
    <w:rsid w:val="006A3FD9"/>
    <w:rsid w:val="006A4273"/>
    <w:rsid w:val="006A48F2"/>
    <w:rsid w:val="006A48FE"/>
    <w:rsid w:val="006A5172"/>
    <w:rsid w:val="006A59CB"/>
    <w:rsid w:val="006A5A5E"/>
    <w:rsid w:val="006A5B4F"/>
    <w:rsid w:val="006A5C4B"/>
    <w:rsid w:val="006A5CCB"/>
    <w:rsid w:val="006A5D73"/>
    <w:rsid w:val="006A5DBD"/>
    <w:rsid w:val="006A5DC2"/>
    <w:rsid w:val="006A5E88"/>
    <w:rsid w:val="006A5EDD"/>
    <w:rsid w:val="006A5F3B"/>
    <w:rsid w:val="006A5F62"/>
    <w:rsid w:val="006A5F6C"/>
    <w:rsid w:val="006A6161"/>
    <w:rsid w:val="006A61A8"/>
    <w:rsid w:val="006A61E6"/>
    <w:rsid w:val="006A672E"/>
    <w:rsid w:val="006A685D"/>
    <w:rsid w:val="006A6DF4"/>
    <w:rsid w:val="006A6E14"/>
    <w:rsid w:val="006A71CF"/>
    <w:rsid w:val="006A73AB"/>
    <w:rsid w:val="006A73D0"/>
    <w:rsid w:val="006A753F"/>
    <w:rsid w:val="006A79E1"/>
    <w:rsid w:val="006A7BE1"/>
    <w:rsid w:val="006B007B"/>
    <w:rsid w:val="006B0350"/>
    <w:rsid w:val="006B0567"/>
    <w:rsid w:val="006B05AA"/>
    <w:rsid w:val="006B05BA"/>
    <w:rsid w:val="006B060E"/>
    <w:rsid w:val="006B0685"/>
    <w:rsid w:val="006B070D"/>
    <w:rsid w:val="006B075F"/>
    <w:rsid w:val="006B07A6"/>
    <w:rsid w:val="006B094A"/>
    <w:rsid w:val="006B0A2F"/>
    <w:rsid w:val="006B0BE1"/>
    <w:rsid w:val="006B0C56"/>
    <w:rsid w:val="006B0ECD"/>
    <w:rsid w:val="006B1026"/>
    <w:rsid w:val="006B1045"/>
    <w:rsid w:val="006B11FF"/>
    <w:rsid w:val="006B1578"/>
    <w:rsid w:val="006B158B"/>
    <w:rsid w:val="006B15FA"/>
    <w:rsid w:val="006B1661"/>
    <w:rsid w:val="006B1693"/>
    <w:rsid w:val="006B186A"/>
    <w:rsid w:val="006B19BF"/>
    <w:rsid w:val="006B1F9D"/>
    <w:rsid w:val="006B2107"/>
    <w:rsid w:val="006B23A6"/>
    <w:rsid w:val="006B2741"/>
    <w:rsid w:val="006B2A0A"/>
    <w:rsid w:val="006B2EE5"/>
    <w:rsid w:val="006B2F84"/>
    <w:rsid w:val="006B2FB7"/>
    <w:rsid w:val="006B30DB"/>
    <w:rsid w:val="006B3186"/>
    <w:rsid w:val="006B319C"/>
    <w:rsid w:val="006B380D"/>
    <w:rsid w:val="006B3B00"/>
    <w:rsid w:val="006B3CA5"/>
    <w:rsid w:val="006B3F2D"/>
    <w:rsid w:val="006B408D"/>
    <w:rsid w:val="006B40D6"/>
    <w:rsid w:val="006B4114"/>
    <w:rsid w:val="006B4188"/>
    <w:rsid w:val="006B4191"/>
    <w:rsid w:val="006B4192"/>
    <w:rsid w:val="006B41D8"/>
    <w:rsid w:val="006B41E8"/>
    <w:rsid w:val="006B43B5"/>
    <w:rsid w:val="006B4544"/>
    <w:rsid w:val="006B4999"/>
    <w:rsid w:val="006B52A3"/>
    <w:rsid w:val="006B559B"/>
    <w:rsid w:val="006B55ED"/>
    <w:rsid w:val="006B58A5"/>
    <w:rsid w:val="006B5946"/>
    <w:rsid w:val="006B5950"/>
    <w:rsid w:val="006B5B5D"/>
    <w:rsid w:val="006B5E21"/>
    <w:rsid w:val="006B6046"/>
    <w:rsid w:val="006B6143"/>
    <w:rsid w:val="006B6361"/>
    <w:rsid w:val="006B63CC"/>
    <w:rsid w:val="006B6681"/>
    <w:rsid w:val="006B6847"/>
    <w:rsid w:val="006B6953"/>
    <w:rsid w:val="006B6B85"/>
    <w:rsid w:val="006B6BB7"/>
    <w:rsid w:val="006B6C6E"/>
    <w:rsid w:val="006B6C73"/>
    <w:rsid w:val="006B6C7E"/>
    <w:rsid w:val="006B707D"/>
    <w:rsid w:val="006B7140"/>
    <w:rsid w:val="006B71A3"/>
    <w:rsid w:val="006B7372"/>
    <w:rsid w:val="006B75B4"/>
    <w:rsid w:val="006B793E"/>
    <w:rsid w:val="006B7948"/>
    <w:rsid w:val="006B7A69"/>
    <w:rsid w:val="006B7BBA"/>
    <w:rsid w:val="006B7DBA"/>
    <w:rsid w:val="006B7F2B"/>
    <w:rsid w:val="006B7F78"/>
    <w:rsid w:val="006B7F80"/>
    <w:rsid w:val="006B7FAB"/>
    <w:rsid w:val="006C00F1"/>
    <w:rsid w:val="006C0515"/>
    <w:rsid w:val="006C0553"/>
    <w:rsid w:val="006C073E"/>
    <w:rsid w:val="006C09EB"/>
    <w:rsid w:val="006C0B6E"/>
    <w:rsid w:val="006C0E3E"/>
    <w:rsid w:val="006C0EA6"/>
    <w:rsid w:val="006C119E"/>
    <w:rsid w:val="006C1618"/>
    <w:rsid w:val="006C17D7"/>
    <w:rsid w:val="006C1C6E"/>
    <w:rsid w:val="006C1DC7"/>
    <w:rsid w:val="006C1DF1"/>
    <w:rsid w:val="006C1F78"/>
    <w:rsid w:val="006C1F9E"/>
    <w:rsid w:val="006C21DB"/>
    <w:rsid w:val="006C21F2"/>
    <w:rsid w:val="006C25E7"/>
    <w:rsid w:val="006C2645"/>
    <w:rsid w:val="006C29ED"/>
    <w:rsid w:val="006C3036"/>
    <w:rsid w:val="006C3225"/>
    <w:rsid w:val="006C3634"/>
    <w:rsid w:val="006C376C"/>
    <w:rsid w:val="006C37C0"/>
    <w:rsid w:val="006C3B1B"/>
    <w:rsid w:val="006C3C21"/>
    <w:rsid w:val="006C3C78"/>
    <w:rsid w:val="006C3EAD"/>
    <w:rsid w:val="006C3EE0"/>
    <w:rsid w:val="006C3F4B"/>
    <w:rsid w:val="006C42A7"/>
    <w:rsid w:val="006C4307"/>
    <w:rsid w:val="006C445E"/>
    <w:rsid w:val="006C447B"/>
    <w:rsid w:val="006C4486"/>
    <w:rsid w:val="006C44A4"/>
    <w:rsid w:val="006C45EF"/>
    <w:rsid w:val="006C48AE"/>
    <w:rsid w:val="006C4E49"/>
    <w:rsid w:val="006C5029"/>
    <w:rsid w:val="006C52D2"/>
    <w:rsid w:val="006C536B"/>
    <w:rsid w:val="006C54FB"/>
    <w:rsid w:val="006C5892"/>
    <w:rsid w:val="006C5D64"/>
    <w:rsid w:val="006C5EDF"/>
    <w:rsid w:val="006C6033"/>
    <w:rsid w:val="006C603B"/>
    <w:rsid w:val="006C61F7"/>
    <w:rsid w:val="006C63C2"/>
    <w:rsid w:val="006C63C4"/>
    <w:rsid w:val="006C65FC"/>
    <w:rsid w:val="006C66A5"/>
    <w:rsid w:val="006C6708"/>
    <w:rsid w:val="006C681C"/>
    <w:rsid w:val="006C6BB8"/>
    <w:rsid w:val="006C6F0F"/>
    <w:rsid w:val="006C6F6C"/>
    <w:rsid w:val="006C6F7C"/>
    <w:rsid w:val="006C705F"/>
    <w:rsid w:val="006C71E3"/>
    <w:rsid w:val="006C7A32"/>
    <w:rsid w:val="006C7CD0"/>
    <w:rsid w:val="006C7D3C"/>
    <w:rsid w:val="006C7DB6"/>
    <w:rsid w:val="006D0074"/>
    <w:rsid w:val="006D014D"/>
    <w:rsid w:val="006D01F3"/>
    <w:rsid w:val="006D035F"/>
    <w:rsid w:val="006D03EB"/>
    <w:rsid w:val="006D0522"/>
    <w:rsid w:val="006D0684"/>
    <w:rsid w:val="006D0922"/>
    <w:rsid w:val="006D09E7"/>
    <w:rsid w:val="006D0C16"/>
    <w:rsid w:val="006D0D46"/>
    <w:rsid w:val="006D0F85"/>
    <w:rsid w:val="006D103C"/>
    <w:rsid w:val="006D116F"/>
    <w:rsid w:val="006D1186"/>
    <w:rsid w:val="006D13C7"/>
    <w:rsid w:val="006D13D4"/>
    <w:rsid w:val="006D1506"/>
    <w:rsid w:val="006D155A"/>
    <w:rsid w:val="006D160C"/>
    <w:rsid w:val="006D17C8"/>
    <w:rsid w:val="006D19C8"/>
    <w:rsid w:val="006D1A43"/>
    <w:rsid w:val="006D1ADD"/>
    <w:rsid w:val="006D1B4E"/>
    <w:rsid w:val="006D1DC8"/>
    <w:rsid w:val="006D1F02"/>
    <w:rsid w:val="006D1F4D"/>
    <w:rsid w:val="006D2512"/>
    <w:rsid w:val="006D2659"/>
    <w:rsid w:val="006D2C74"/>
    <w:rsid w:val="006D37BB"/>
    <w:rsid w:val="006D39D0"/>
    <w:rsid w:val="006D3AF4"/>
    <w:rsid w:val="006D40CB"/>
    <w:rsid w:val="006D4479"/>
    <w:rsid w:val="006D498B"/>
    <w:rsid w:val="006D4AA6"/>
    <w:rsid w:val="006D4DEA"/>
    <w:rsid w:val="006D4E70"/>
    <w:rsid w:val="006D4FC4"/>
    <w:rsid w:val="006D50D0"/>
    <w:rsid w:val="006D50F7"/>
    <w:rsid w:val="006D513D"/>
    <w:rsid w:val="006D52F7"/>
    <w:rsid w:val="006D579A"/>
    <w:rsid w:val="006D5D9E"/>
    <w:rsid w:val="006D5E52"/>
    <w:rsid w:val="006D617C"/>
    <w:rsid w:val="006D6284"/>
    <w:rsid w:val="006D6306"/>
    <w:rsid w:val="006D64A2"/>
    <w:rsid w:val="006D64A7"/>
    <w:rsid w:val="006D6705"/>
    <w:rsid w:val="006D6816"/>
    <w:rsid w:val="006D691C"/>
    <w:rsid w:val="006D6958"/>
    <w:rsid w:val="006D6A56"/>
    <w:rsid w:val="006D6B91"/>
    <w:rsid w:val="006D6EA1"/>
    <w:rsid w:val="006D6FB3"/>
    <w:rsid w:val="006D759B"/>
    <w:rsid w:val="006D7721"/>
    <w:rsid w:val="006D77C8"/>
    <w:rsid w:val="006D7DE6"/>
    <w:rsid w:val="006D7E42"/>
    <w:rsid w:val="006D7E51"/>
    <w:rsid w:val="006D7EA2"/>
    <w:rsid w:val="006D7EA8"/>
    <w:rsid w:val="006D7F8D"/>
    <w:rsid w:val="006E00D3"/>
    <w:rsid w:val="006E0157"/>
    <w:rsid w:val="006E035B"/>
    <w:rsid w:val="006E04E5"/>
    <w:rsid w:val="006E050C"/>
    <w:rsid w:val="006E0620"/>
    <w:rsid w:val="006E06AD"/>
    <w:rsid w:val="006E0AF6"/>
    <w:rsid w:val="006E0B7D"/>
    <w:rsid w:val="006E0CF2"/>
    <w:rsid w:val="006E0D18"/>
    <w:rsid w:val="006E0E41"/>
    <w:rsid w:val="006E0F2A"/>
    <w:rsid w:val="006E0F98"/>
    <w:rsid w:val="006E0FA2"/>
    <w:rsid w:val="006E12BF"/>
    <w:rsid w:val="006E1444"/>
    <w:rsid w:val="006E1525"/>
    <w:rsid w:val="006E15A6"/>
    <w:rsid w:val="006E1A18"/>
    <w:rsid w:val="006E1C59"/>
    <w:rsid w:val="006E1C5C"/>
    <w:rsid w:val="006E1F2B"/>
    <w:rsid w:val="006E213B"/>
    <w:rsid w:val="006E2144"/>
    <w:rsid w:val="006E22C8"/>
    <w:rsid w:val="006E2777"/>
    <w:rsid w:val="006E282A"/>
    <w:rsid w:val="006E2CAC"/>
    <w:rsid w:val="006E33FC"/>
    <w:rsid w:val="006E362D"/>
    <w:rsid w:val="006E3647"/>
    <w:rsid w:val="006E3A02"/>
    <w:rsid w:val="006E3D1F"/>
    <w:rsid w:val="006E4180"/>
    <w:rsid w:val="006E4591"/>
    <w:rsid w:val="006E4907"/>
    <w:rsid w:val="006E4BE4"/>
    <w:rsid w:val="006E5018"/>
    <w:rsid w:val="006E52A2"/>
    <w:rsid w:val="006E54C1"/>
    <w:rsid w:val="006E5708"/>
    <w:rsid w:val="006E5760"/>
    <w:rsid w:val="006E5799"/>
    <w:rsid w:val="006E5839"/>
    <w:rsid w:val="006E5DFB"/>
    <w:rsid w:val="006E5F8C"/>
    <w:rsid w:val="006E60E4"/>
    <w:rsid w:val="006E6122"/>
    <w:rsid w:val="006E6156"/>
    <w:rsid w:val="006E61BB"/>
    <w:rsid w:val="006E6248"/>
    <w:rsid w:val="006E634F"/>
    <w:rsid w:val="006E63C9"/>
    <w:rsid w:val="006E6526"/>
    <w:rsid w:val="006E65D9"/>
    <w:rsid w:val="006E660A"/>
    <w:rsid w:val="006E6AE0"/>
    <w:rsid w:val="006E6AE8"/>
    <w:rsid w:val="006E6BA4"/>
    <w:rsid w:val="006E6C9D"/>
    <w:rsid w:val="006E6F6D"/>
    <w:rsid w:val="006E768F"/>
    <w:rsid w:val="006E76C1"/>
    <w:rsid w:val="006E7799"/>
    <w:rsid w:val="006E7D1E"/>
    <w:rsid w:val="006E7DF0"/>
    <w:rsid w:val="006F0041"/>
    <w:rsid w:val="006F028C"/>
    <w:rsid w:val="006F0442"/>
    <w:rsid w:val="006F05AC"/>
    <w:rsid w:val="006F06FF"/>
    <w:rsid w:val="006F0819"/>
    <w:rsid w:val="006F0886"/>
    <w:rsid w:val="006F08D3"/>
    <w:rsid w:val="006F08F5"/>
    <w:rsid w:val="006F0926"/>
    <w:rsid w:val="006F0967"/>
    <w:rsid w:val="006F0D74"/>
    <w:rsid w:val="006F0ED0"/>
    <w:rsid w:val="006F0F99"/>
    <w:rsid w:val="006F0FAB"/>
    <w:rsid w:val="006F16C2"/>
    <w:rsid w:val="006F1A4F"/>
    <w:rsid w:val="006F1B68"/>
    <w:rsid w:val="006F1BA7"/>
    <w:rsid w:val="006F1E02"/>
    <w:rsid w:val="006F1F63"/>
    <w:rsid w:val="006F2009"/>
    <w:rsid w:val="006F2118"/>
    <w:rsid w:val="006F2297"/>
    <w:rsid w:val="006F22F8"/>
    <w:rsid w:val="006F24A7"/>
    <w:rsid w:val="006F27AC"/>
    <w:rsid w:val="006F286C"/>
    <w:rsid w:val="006F2953"/>
    <w:rsid w:val="006F2FCC"/>
    <w:rsid w:val="006F30A2"/>
    <w:rsid w:val="006F30FA"/>
    <w:rsid w:val="006F3147"/>
    <w:rsid w:val="006F3377"/>
    <w:rsid w:val="006F35A4"/>
    <w:rsid w:val="006F35E3"/>
    <w:rsid w:val="006F36DA"/>
    <w:rsid w:val="006F3A17"/>
    <w:rsid w:val="006F3CA2"/>
    <w:rsid w:val="006F4049"/>
    <w:rsid w:val="006F40DB"/>
    <w:rsid w:val="006F4394"/>
    <w:rsid w:val="006F439A"/>
    <w:rsid w:val="006F44A0"/>
    <w:rsid w:val="006F44EB"/>
    <w:rsid w:val="006F458D"/>
    <w:rsid w:val="006F4BCD"/>
    <w:rsid w:val="006F4D82"/>
    <w:rsid w:val="006F4EC6"/>
    <w:rsid w:val="006F5150"/>
    <w:rsid w:val="006F53B6"/>
    <w:rsid w:val="006F5442"/>
    <w:rsid w:val="006F54C6"/>
    <w:rsid w:val="006F5525"/>
    <w:rsid w:val="006F5B06"/>
    <w:rsid w:val="006F5B59"/>
    <w:rsid w:val="006F63A9"/>
    <w:rsid w:val="006F673E"/>
    <w:rsid w:val="006F67CA"/>
    <w:rsid w:val="006F6829"/>
    <w:rsid w:val="006F6AF2"/>
    <w:rsid w:val="006F6D59"/>
    <w:rsid w:val="006F6D60"/>
    <w:rsid w:val="006F7096"/>
    <w:rsid w:val="006F7336"/>
    <w:rsid w:val="006F7435"/>
    <w:rsid w:val="006F74B9"/>
    <w:rsid w:val="006F7C87"/>
    <w:rsid w:val="006F7CBD"/>
    <w:rsid w:val="006F7D3E"/>
    <w:rsid w:val="006F7D60"/>
    <w:rsid w:val="00700143"/>
    <w:rsid w:val="0070029C"/>
    <w:rsid w:val="007003C5"/>
    <w:rsid w:val="007004EF"/>
    <w:rsid w:val="007004F9"/>
    <w:rsid w:val="0070055C"/>
    <w:rsid w:val="00700E2B"/>
    <w:rsid w:val="00700EA1"/>
    <w:rsid w:val="007011EC"/>
    <w:rsid w:val="007013D4"/>
    <w:rsid w:val="007015DE"/>
    <w:rsid w:val="0070164F"/>
    <w:rsid w:val="00701745"/>
    <w:rsid w:val="00701791"/>
    <w:rsid w:val="00701C62"/>
    <w:rsid w:val="00702499"/>
    <w:rsid w:val="00702593"/>
    <w:rsid w:val="00702630"/>
    <w:rsid w:val="0070279D"/>
    <w:rsid w:val="00702A59"/>
    <w:rsid w:val="00702A64"/>
    <w:rsid w:val="00702B55"/>
    <w:rsid w:val="00702B84"/>
    <w:rsid w:val="00702BBF"/>
    <w:rsid w:val="00702BD0"/>
    <w:rsid w:val="00702D88"/>
    <w:rsid w:val="00702DE5"/>
    <w:rsid w:val="00702F8E"/>
    <w:rsid w:val="00703028"/>
    <w:rsid w:val="0070319A"/>
    <w:rsid w:val="0070351E"/>
    <w:rsid w:val="007035A5"/>
    <w:rsid w:val="00703A4D"/>
    <w:rsid w:val="00703D7E"/>
    <w:rsid w:val="00704885"/>
    <w:rsid w:val="007048D0"/>
    <w:rsid w:val="0070496E"/>
    <w:rsid w:val="00704A3B"/>
    <w:rsid w:val="00704B83"/>
    <w:rsid w:val="00704BCA"/>
    <w:rsid w:val="00704E7A"/>
    <w:rsid w:val="00704E8E"/>
    <w:rsid w:val="00705072"/>
    <w:rsid w:val="0070516F"/>
    <w:rsid w:val="007053EF"/>
    <w:rsid w:val="00705465"/>
    <w:rsid w:val="0070552A"/>
    <w:rsid w:val="007056AD"/>
    <w:rsid w:val="007056AE"/>
    <w:rsid w:val="007057E4"/>
    <w:rsid w:val="00705AB4"/>
    <w:rsid w:val="00705CD5"/>
    <w:rsid w:val="00705D52"/>
    <w:rsid w:val="0070600F"/>
    <w:rsid w:val="00706252"/>
    <w:rsid w:val="007066CA"/>
    <w:rsid w:val="0070673E"/>
    <w:rsid w:val="00706796"/>
    <w:rsid w:val="00706B3A"/>
    <w:rsid w:val="00706DAD"/>
    <w:rsid w:val="00706DFC"/>
    <w:rsid w:val="00706E62"/>
    <w:rsid w:val="007074B9"/>
    <w:rsid w:val="00707554"/>
    <w:rsid w:val="007075BC"/>
    <w:rsid w:val="00707643"/>
    <w:rsid w:val="007076A2"/>
    <w:rsid w:val="0071009F"/>
    <w:rsid w:val="0071044E"/>
    <w:rsid w:val="0071054D"/>
    <w:rsid w:val="0071066B"/>
    <w:rsid w:val="007108EF"/>
    <w:rsid w:val="00710905"/>
    <w:rsid w:val="0071099E"/>
    <w:rsid w:val="007109C6"/>
    <w:rsid w:val="00710A8D"/>
    <w:rsid w:val="00710B0A"/>
    <w:rsid w:val="00710D14"/>
    <w:rsid w:val="00710FA5"/>
    <w:rsid w:val="00711080"/>
    <w:rsid w:val="00711090"/>
    <w:rsid w:val="007115D8"/>
    <w:rsid w:val="007117E6"/>
    <w:rsid w:val="00711865"/>
    <w:rsid w:val="00711A75"/>
    <w:rsid w:val="00711C1C"/>
    <w:rsid w:val="0071205C"/>
    <w:rsid w:val="00712196"/>
    <w:rsid w:val="0071244B"/>
    <w:rsid w:val="00712469"/>
    <w:rsid w:val="00712BC3"/>
    <w:rsid w:val="00712D61"/>
    <w:rsid w:val="00712DFA"/>
    <w:rsid w:val="007133E7"/>
    <w:rsid w:val="007135A1"/>
    <w:rsid w:val="00713900"/>
    <w:rsid w:val="00713937"/>
    <w:rsid w:val="00713DCD"/>
    <w:rsid w:val="00713F73"/>
    <w:rsid w:val="00714118"/>
    <w:rsid w:val="00714738"/>
    <w:rsid w:val="0071477B"/>
    <w:rsid w:val="007147F9"/>
    <w:rsid w:val="00714A3C"/>
    <w:rsid w:val="00714ABA"/>
    <w:rsid w:val="00714D1D"/>
    <w:rsid w:val="00714D3E"/>
    <w:rsid w:val="00714D5B"/>
    <w:rsid w:val="00714D7D"/>
    <w:rsid w:val="00714F1C"/>
    <w:rsid w:val="00714F5A"/>
    <w:rsid w:val="007150AA"/>
    <w:rsid w:val="007150F1"/>
    <w:rsid w:val="007155F9"/>
    <w:rsid w:val="00715E2B"/>
    <w:rsid w:val="00715E70"/>
    <w:rsid w:val="007160C6"/>
    <w:rsid w:val="00716248"/>
    <w:rsid w:val="007163E7"/>
    <w:rsid w:val="007164A0"/>
    <w:rsid w:val="00716585"/>
    <w:rsid w:val="007166D6"/>
    <w:rsid w:val="007166ED"/>
    <w:rsid w:val="00716880"/>
    <w:rsid w:val="007168F7"/>
    <w:rsid w:val="0071697F"/>
    <w:rsid w:val="00716C9C"/>
    <w:rsid w:val="00716CAB"/>
    <w:rsid w:val="00716CE5"/>
    <w:rsid w:val="00716E90"/>
    <w:rsid w:val="00716FDD"/>
    <w:rsid w:val="007170DF"/>
    <w:rsid w:val="0071723B"/>
    <w:rsid w:val="007173EE"/>
    <w:rsid w:val="007174BB"/>
    <w:rsid w:val="0071756A"/>
    <w:rsid w:val="0071758D"/>
    <w:rsid w:val="00717632"/>
    <w:rsid w:val="007177C9"/>
    <w:rsid w:val="00717894"/>
    <w:rsid w:val="00717978"/>
    <w:rsid w:val="007179C2"/>
    <w:rsid w:val="00717A08"/>
    <w:rsid w:val="00717A48"/>
    <w:rsid w:val="00717FC5"/>
    <w:rsid w:val="00720264"/>
    <w:rsid w:val="00720663"/>
    <w:rsid w:val="00720838"/>
    <w:rsid w:val="00720C24"/>
    <w:rsid w:val="007210F5"/>
    <w:rsid w:val="007212ED"/>
    <w:rsid w:val="00721417"/>
    <w:rsid w:val="00721509"/>
    <w:rsid w:val="0072150E"/>
    <w:rsid w:val="007215B5"/>
    <w:rsid w:val="007215FA"/>
    <w:rsid w:val="007216D4"/>
    <w:rsid w:val="00721A71"/>
    <w:rsid w:val="00721D45"/>
    <w:rsid w:val="00721DD0"/>
    <w:rsid w:val="0072200E"/>
    <w:rsid w:val="0072216D"/>
    <w:rsid w:val="007221B5"/>
    <w:rsid w:val="00722204"/>
    <w:rsid w:val="00722290"/>
    <w:rsid w:val="007222F9"/>
    <w:rsid w:val="007223C2"/>
    <w:rsid w:val="0072291D"/>
    <w:rsid w:val="0072295A"/>
    <w:rsid w:val="007229B9"/>
    <w:rsid w:val="00722B8F"/>
    <w:rsid w:val="00722E7A"/>
    <w:rsid w:val="00722E99"/>
    <w:rsid w:val="00722FB7"/>
    <w:rsid w:val="00723254"/>
    <w:rsid w:val="007233A3"/>
    <w:rsid w:val="007236CB"/>
    <w:rsid w:val="0072372E"/>
    <w:rsid w:val="00723A2F"/>
    <w:rsid w:val="00723A63"/>
    <w:rsid w:val="00723B1C"/>
    <w:rsid w:val="00723DF7"/>
    <w:rsid w:val="00723EEC"/>
    <w:rsid w:val="00723FCE"/>
    <w:rsid w:val="00724323"/>
    <w:rsid w:val="0072442D"/>
    <w:rsid w:val="007245B0"/>
    <w:rsid w:val="00724648"/>
    <w:rsid w:val="00724649"/>
    <w:rsid w:val="00724A00"/>
    <w:rsid w:val="00724AD6"/>
    <w:rsid w:val="00724BCB"/>
    <w:rsid w:val="00724E59"/>
    <w:rsid w:val="00725182"/>
    <w:rsid w:val="0072520D"/>
    <w:rsid w:val="007253D0"/>
    <w:rsid w:val="00725477"/>
    <w:rsid w:val="007255B9"/>
    <w:rsid w:val="007256EF"/>
    <w:rsid w:val="00725788"/>
    <w:rsid w:val="00725873"/>
    <w:rsid w:val="00725C70"/>
    <w:rsid w:val="00726068"/>
    <w:rsid w:val="00726541"/>
    <w:rsid w:val="00726691"/>
    <w:rsid w:val="007268A9"/>
    <w:rsid w:val="00726A91"/>
    <w:rsid w:val="00726BD5"/>
    <w:rsid w:val="00726D80"/>
    <w:rsid w:val="00727063"/>
    <w:rsid w:val="00727261"/>
    <w:rsid w:val="007272A4"/>
    <w:rsid w:val="0072739F"/>
    <w:rsid w:val="007273D6"/>
    <w:rsid w:val="0072746F"/>
    <w:rsid w:val="007275B2"/>
    <w:rsid w:val="00727815"/>
    <w:rsid w:val="007278E9"/>
    <w:rsid w:val="00727A4B"/>
    <w:rsid w:val="00727CBA"/>
    <w:rsid w:val="00727F62"/>
    <w:rsid w:val="00727F8D"/>
    <w:rsid w:val="00730990"/>
    <w:rsid w:val="00730E62"/>
    <w:rsid w:val="00731199"/>
    <w:rsid w:val="007313DF"/>
    <w:rsid w:val="0073171C"/>
    <w:rsid w:val="00731847"/>
    <w:rsid w:val="00731A50"/>
    <w:rsid w:val="00731A5C"/>
    <w:rsid w:val="00731AB0"/>
    <w:rsid w:val="00731B82"/>
    <w:rsid w:val="00731CA4"/>
    <w:rsid w:val="00731CE8"/>
    <w:rsid w:val="007320E6"/>
    <w:rsid w:val="00732131"/>
    <w:rsid w:val="0073229B"/>
    <w:rsid w:val="007322A2"/>
    <w:rsid w:val="007322A5"/>
    <w:rsid w:val="007322FB"/>
    <w:rsid w:val="007322FD"/>
    <w:rsid w:val="00732481"/>
    <w:rsid w:val="007324E7"/>
    <w:rsid w:val="00732612"/>
    <w:rsid w:val="00732683"/>
    <w:rsid w:val="007326A7"/>
    <w:rsid w:val="00732745"/>
    <w:rsid w:val="00732A8E"/>
    <w:rsid w:val="00732BF1"/>
    <w:rsid w:val="00732F40"/>
    <w:rsid w:val="0073347C"/>
    <w:rsid w:val="0073369A"/>
    <w:rsid w:val="007336ED"/>
    <w:rsid w:val="007338B2"/>
    <w:rsid w:val="00733E46"/>
    <w:rsid w:val="00733F32"/>
    <w:rsid w:val="00733F67"/>
    <w:rsid w:val="00734170"/>
    <w:rsid w:val="007341F6"/>
    <w:rsid w:val="00734215"/>
    <w:rsid w:val="007342D9"/>
    <w:rsid w:val="00734365"/>
    <w:rsid w:val="00734368"/>
    <w:rsid w:val="007347EB"/>
    <w:rsid w:val="007349B1"/>
    <w:rsid w:val="00734A42"/>
    <w:rsid w:val="00734A7E"/>
    <w:rsid w:val="00734CA6"/>
    <w:rsid w:val="00734D0E"/>
    <w:rsid w:val="00734D7A"/>
    <w:rsid w:val="00734DED"/>
    <w:rsid w:val="0073511F"/>
    <w:rsid w:val="00735199"/>
    <w:rsid w:val="007354FE"/>
    <w:rsid w:val="00735559"/>
    <w:rsid w:val="00735748"/>
    <w:rsid w:val="00735818"/>
    <w:rsid w:val="00735DED"/>
    <w:rsid w:val="00735DF3"/>
    <w:rsid w:val="00735E36"/>
    <w:rsid w:val="00735F73"/>
    <w:rsid w:val="00735FE6"/>
    <w:rsid w:val="00736193"/>
    <w:rsid w:val="00736495"/>
    <w:rsid w:val="0073656C"/>
    <w:rsid w:val="007365B4"/>
    <w:rsid w:val="00736909"/>
    <w:rsid w:val="00736A30"/>
    <w:rsid w:val="00736B06"/>
    <w:rsid w:val="00736B5E"/>
    <w:rsid w:val="00736B72"/>
    <w:rsid w:val="00736D0E"/>
    <w:rsid w:val="00736E32"/>
    <w:rsid w:val="0073779D"/>
    <w:rsid w:val="00737827"/>
    <w:rsid w:val="00737952"/>
    <w:rsid w:val="00737E14"/>
    <w:rsid w:val="007403F1"/>
    <w:rsid w:val="0074062E"/>
    <w:rsid w:val="00740651"/>
    <w:rsid w:val="00740783"/>
    <w:rsid w:val="007407DF"/>
    <w:rsid w:val="00740F29"/>
    <w:rsid w:val="00741045"/>
    <w:rsid w:val="0074115C"/>
    <w:rsid w:val="00741325"/>
    <w:rsid w:val="00741520"/>
    <w:rsid w:val="0074169B"/>
    <w:rsid w:val="0074184F"/>
    <w:rsid w:val="007418B4"/>
    <w:rsid w:val="007419CB"/>
    <w:rsid w:val="00741B3D"/>
    <w:rsid w:val="00741BDA"/>
    <w:rsid w:val="00741C14"/>
    <w:rsid w:val="0074226B"/>
    <w:rsid w:val="007424B6"/>
    <w:rsid w:val="00742561"/>
    <w:rsid w:val="007427EA"/>
    <w:rsid w:val="007428B5"/>
    <w:rsid w:val="00742BF0"/>
    <w:rsid w:val="00743309"/>
    <w:rsid w:val="007434F9"/>
    <w:rsid w:val="007436C0"/>
    <w:rsid w:val="00743734"/>
    <w:rsid w:val="00743C66"/>
    <w:rsid w:val="00743C8B"/>
    <w:rsid w:val="00743DD5"/>
    <w:rsid w:val="00743F48"/>
    <w:rsid w:val="00743F96"/>
    <w:rsid w:val="00743FE8"/>
    <w:rsid w:val="00744081"/>
    <w:rsid w:val="0074441B"/>
    <w:rsid w:val="00744497"/>
    <w:rsid w:val="007445B1"/>
    <w:rsid w:val="00744665"/>
    <w:rsid w:val="00744670"/>
    <w:rsid w:val="0074471A"/>
    <w:rsid w:val="00744ADF"/>
    <w:rsid w:val="00744D64"/>
    <w:rsid w:val="0074503D"/>
    <w:rsid w:val="0074548A"/>
    <w:rsid w:val="007455F8"/>
    <w:rsid w:val="00745ABB"/>
    <w:rsid w:val="00745BEF"/>
    <w:rsid w:val="00745ED3"/>
    <w:rsid w:val="00746038"/>
    <w:rsid w:val="007460C0"/>
    <w:rsid w:val="0074618A"/>
    <w:rsid w:val="00746541"/>
    <w:rsid w:val="007468CD"/>
    <w:rsid w:val="00746990"/>
    <w:rsid w:val="00746C77"/>
    <w:rsid w:val="00746DB8"/>
    <w:rsid w:val="007472A5"/>
    <w:rsid w:val="0074747C"/>
    <w:rsid w:val="007474D9"/>
    <w:rsid w:val="007474F5"/>
    <w:rsid w:val="00747559"/>
    <w:rsid w:val="0074776F"/>
    <w:rsid w:val="00747B5E"/>
    <w:rsid w:val="00747D99"/>
    <w:rsid w:val="007501E8"/>
    <w:rsid w:val="007503D8"/>
    <w:rsid w:val="00750517"/>
    <w:rsid w:val="007508EB"/>
    <w:rsid w:val="007509A3"/>
    <w:rsid w:val="00750B5A"/>
    <w:rsid w:val="00750BB6"/>
    <w:rsid w:val="00750D5C"/>
    <w:rsid w:val="00750FFD"/>
    <w:rsid w:val="007510D2"/>
    <w:rsid w:val="0075112D"/>
    <w:rsid w:val="0075122D"/>
    <w:rsid w:val="00751259"/>
    <w:rsid w:val="0075140D"/>
    <w:rsid w:val="0075190A"/>
    <w:rsid w:val="007519F3"/>
    <w:rsid w:val="007523BA"/>
    <w:rsid w:val="007523D2"/>
    <w:rsid w:val="007525AD"/>
    <w:rsid w:val="00752747"/>
    <w:rsid w:val="00753047"/>
    <w:rsid w:val="00753408"/>
    <w:rsid w:val="0075347B"/>
    <w:rsid w:val="00753814"/>
    <w:rsid w:val="0075396C"/>
    <w:rsid w:val="00753978"/>
    <w:rsid w:val="00753A51"/>
    <w:rsid w:val="00753F7A"/>
    <w:rsid w:val="00753FDF"/>
    <w:rsid w:val="0075437B"/>
    <w:rsid w:val="007543A6"/>
    <w:rsid w:val="00754450"/>
    <w:rsid w:val="007544A2"/>
    <w:rsid w:val="00754507"/>
    <w:rsid w:val="007545E9"/>
    <w:rsid w:val="00754650"/>
    <w:rsid w:val="00754B3D"/>
    <w:rsid w:val="00754F2B"/>
    <w:rsid w:val="00754F3F"/>
    <w:rsid w:val="00754F8C"/>
    <w:rsid w:val="00755333"/>
    <w:rsid w:val="00755353"/>
    <w:rsid w:val="00755544"/>
    <w:rsid w:val="0075592B"/>
    <w:rsid w:val="007559CB"/>
    <w:rsid w:val="00755ADC"/>
    <w:rsid w:val="00755C03"/>
    <w:rsid w:val="00755C3A"/>
    <w:rsid w:val="00755C83"/>
    <w:rsid w:val="007561BD"/>
    <w:rsid w:val="007564EF"/>
    <w:rsid w:val="0075659D"/>
    <w:rsid w:val="007565A6"/>
    <w:rsid w:val="0075665C"/>
    <w:rsid w:val="007566F8"/>
    <w:rsid w:val="007569EF"/>
    <w:rsid w:val="00756BDA"/>
    <w:rsid w:val="00756C38"/>
    <w:rsid w:val="00756D67"/>
    <w:rsid w:val="007570B3"/>
    <w:rsid w:val="0075715A"/>
    <w:rsid w:val="00757282"/>
    <w:rsid w:val="00757766"/>
    <w:rsid w:val="00757C53"/>
    <w:rsid w:val="00757E05"/>
    <w:rsid w:val="00757E4A"/>
    <w:rsid w:val="00757F48"/>
    <w:rsid w:val="00757FB0"/>
    <w:rsid w:val="0076014D"/>
    <w:rsid w:val="00760179"/>
    <w:rsid w:val="0076066C"/>
    <w:rsid w:val="00760C04"/>
    <w:rsid w:val="00760C3E"/>
    <w:rsid w:val="00760FCF"/>
    <w:rsid w:val="007610B7"/>
    <w:rsid w:val="00761275"/>
    <w:rsid w:val="00761C43"/>
    <w:rsid w:val="00761CCD"/>
    <w:rsid w:val="007620A7"/>
    <w:rsid w:val="0076259B"/>
    <w:rsid w:val="007625FF"/>
    <w:rsid w:val="0076271D"/>
    <w:rsid w:val="007629FF"/>
    <w:rsid w:val="00762A06"/>
    <w:rsid w:val="00762A88"/>
    <w:rsid w:val="00763244"/>
    <w:rsid w:val="00763456"/>
    <w:rsid w:val="007635A7"/>
    <w:rsid w:val="0076385D"/>
    <w:rsid w:val="00763B74"/>
    <w:rsid w:val="00763C63"/>
    <w:rsid w:val="00763DD9"/>
    <w:rsid w:val="00764060"/>
    <w:rsid w:val="0076418D"/>
    <w:rsid w:val="00764BAA"/>
    <w:rsid w:val="00764BEB"/>
    <w:rsid w:val="00764F1E"/>
    <w:rsid w:val="007651A3"/>
    <w:rsid w:val="00765A70"/>
    <w:rsid w:val="00765A9D"/>
    <w:rsid w:val="00765D56"/>
    <w:rsid w:val="00765D60"/>
    <w:rsid w:val="0076664D"/>
    <w:rsid w:val="007667A2"/>
    <w:rsid w:val="00766842"/>
    <w:rsid w:val="007668F8"/>
    <w:rsid w:val="0076697E"/>
    <w:rsid w:val="00766AC2"/>
    <w:rsid w:val="00767360"/>
    <w:rsid w:val="007673B7"/>
    <w:rsid w:val="00767624"/>
    <w:rsid w:val="00767643"/>
    <w:rsid w:val="00767744"/>
    <w:rsid w:val="00767754"/>
    <w:rsid w:val="00767ACA"/>
    <w:rsid w:val="00767D0D"/>
    <w:rsid w:val="00770059"/>
    <w:rsid w:val="007701BC"/>
    <w:rsid w:val="00770223"/>
    <w:rsid w:val="0077051F"/>
    <w:rsid w:val="007707C1"/>
    <w:rsid w:val="007709D9"/>
    <w:rsid w:val="00770C23"/>
    <w:rsid w:val="00770CE3"/>
    <w:rsid w:val="00770DBC"/>
    <w:rsid w:val="00771048"/>
    <w:rsid w:val="0077106B"/>
    <w:rsid w:val="00771197"/>
    <w:rsid w:val="00771243"/>
    <w:rsid w:val="00771273"/>
    <w:rsid w:val="0077184A"/>
    <w:rsid w:val="0077197A"/>
    <w:rsid w:val="00771A4F"/>
    <w:rsid w:val="00771B0C"/>
    <w:rsid w:val="00771D1E"/>
    <w:rsid w:val="00771DC9"/>
    <w:rsid w:val="00771DFA"/>
    <w:rsid w:val="00771FCE"/>
    <w:rsid w:val="007720B0"/>
    <w:rsid w:val="0077214A"/>
    <w:rsid w:val="0077218B"/>
    <w:rsid w:val="00772219"/>
    <w:rsid w:val="00772292"/>
    <w:rsid w:val="0077231F"/>
    <w:rsid w:val="00772466"/>
    <w:rsid w:val="0077260A"/>
    <w:rsid w:val="0077261C"/>
    <w:rsid w:val="00772702"/>
    <w:rsid w:val="007729AA"/>
    <w:rsid w:val="00772A70"/>
    <w:rsid w:val="00772CFB"/>
    <w:rsid w:val="00773071"/>
    <w:rsid w:val="00773378"/>
    <w:rsid w:val="00773570"/>
    <w:rsid w:val="007735E1"/>
    <w:rsid w:val="00773684"/>
    <w:rsid w:val="00773869"/>
    <w:rsid w:val="00773B0F"/>
    <w:rsid w:val="00773D0D"/>
    <w:rsid w:val="00773FF0"/>
    <w:rsid w:val="0077430C"/>
    <w:rsid w:val="00774377"/>
    <w:rsid w:val="00774404"/>
    <w:rsid w:val="0077473B"/>
    <w:rsid w:val="00774930"/>
    <w:rsid w:val="00774CE3"/>
    <w:rsid w:val="00774D9A"/>
    <w:rsid w:val="00774F49"/>
    <w:rsid w:val="00774FCC"/>
    <w:rsid w:val="00774FD8"/>
    <w:rsid w:val="00775185"/>
    <w:rsid w:val="0077569B"/>
    <w:rsid w:val="007756E4"/>
    <w:rsid w:val="007757B9"/>
    <w:rsid w:val="007759A0"/>
    <w:rsid w:val="00775A8F"/>
    <w:rsid w:val="00775B0F"/>
    <w:rsid w:val="00775E0E"/>
    <w:rsid w:val="00775ECB"/>
    <w:rsid w:val="00775FF3"/>
    <w:rsid w:val="00776016"/>
    <w:rsid w:val="0077613D"/>
    <w:rsid w:val="007764BE"/>
    <w:rsid w:val="007767AD"/>
    <w:rsid w:val="007767D7"/>
    <w:rsid w:val="007768BB"/>
    <w:rsid w:val="00776993"/>
    <w:rsid w:val="007769C9"/>
    <w:rsid w:val="00776AC2"/>
    <w:rsid w:val="00776DCA"/>
    <w:rsid w:val="00776EF2"/>
    <w:rsid w:val="00776F3D"/>
    <w:rsid w:val="00777306"/>
    <w:rsid w:val="00777348"/>
    <w:rsid w:val="00777752"/>
    <w:rsid w:val="007777C7"/>
    <w:rsid w:val="007777C9"/>
    <w:rsid w:val="007779D0"/>
    <w:rsid w:val="00777CF2"/>
    <w:rsid w:val="00777F0A"/>
    <w:rsid w:val="007800A6"/>
    <w:rsid w:val="0078012B"/>
    <w:rsid w:val="007801C7"/>
    <w:rsid w:val="007801F5"/>
    <w:rsid w:val="0078041B"/>
    <w:rsid w:val="00780726"/>
    <w:rsid w:val="0078080F"/>
    <w:rsid w:val="0078099E"/>
    <w:rsid w:val="00780B76"/>
    <w:rsid w:val="00780E1B"/>
    <w:rsid w:val="00780E4F"/>
    <w:rsid w:val="00781012"/>
    <w:rsid w:val="007810D4"/>
    <w:rsid w:val="0078122B"/>
    <w:rsid w:val="007816CE"/>
    <w:rsid w:val="00781871"/>
    <w:rsid w:val="0078191D"/>
    <w:rsid w:val="007819DE"/>
    <w:rsid w:val="00781B32"/>
    <w:rsid w:val="00781BA0"/>
    <w:rsid w:val="00781C68"/>
    <w:rsid w:val="00781E2A"/>
    <w:rsid w:val="00781EA1"/>
    <w:rsid w:val="00781F5C"/>
    <w:rsid w:val="00781F62"/>
    <w:rsid w:val="00781F81"/>
    <w:rsid w:val="00782335"/>
    <w:rsid w:val="0078237A"/>
    <w:rsid w:val="007823E6"/>
    <w:rsid w:val="00782494"/>
    <w:rsid w:val="007825CD"/>
    <w:rsid w:val="007829CE"/>
    <w:rsid w:val="00782C8D"/>
    <w:rsid w:val="007835B6"/>
    <w:rsid w:val="0078390C"/>
    <w:rsid w:val="00783EAE"/>
    <w:rsid w:val="00783EF9"/>
    <w:rsid w:val="007842F3"/>
    <w:rsid w:val="0078454A"/>
    <w:rsid w:val="00784801"/>
    <w:rsid w:val="00784A2B"/>
    <w:rsid w:val="00784A62"/>
    <w:rsid w:val="00784ABE"/>
    <w:rsid w:val="00784D2D"/>
    <w:rsid w:val="00784E14"/>
    <w:rsid w:val="00784F32"/>
    <w:rsid w:val="00784F4C"/>
    <w:rsid w:val="007850DD"/>
    <w:rsid w:val="007851F9"/>
    <w:rsid w:val="00785313"/>
    <w:rsid w:val="007856F0"/>
    <w:rsid w:val="0078572D"/>
    <w:rsid w:val="00785812"/>
    <w:rsid w:val="007860E5"/>
    <w:rsid w:val="00786491"/>
    <w:rsid w:val="007864ED"/>
    <w:rsid w:val="007865D0"/>
    <w:rsid w:val="00786A87"/>
    <w:rsid w:val="00786D23"/>
    <w:rsid w:val="00786DD6"/>
    <w:rsid w:val="00786DFB"/>
    <w:rsid w:val="00786EBC"/>
    <w:rsid w:val="0078715D"/>
    <w:rsid w:val="00787338"/>
    <w:rsid w:val="007873EA"/>
    <w:rsid w:val="00787758"/>
    <w:rsid w:val="00787AD8"/>
    <w:rsid w:val="00787CF4"/>
    <w:rsid w:val="00787DB1"/>
    <w:rsid w:val="00787DCC"/>
    <w:rsid w:val="00787DD0"/>
    <w:rsid w:val="00787DDE"/>
    <w:rsid w:val="00787F77"/>
    <w:rsid w:val="00790244"/>
    <w:rsid w:val="007903BB"/>
    <w:rsid w:val="00790468"/>
    <w:rsid w:val="00790616"/>
    <w:rsid w:val="00790912"/>
    <w:rsid w:val="007909B0"/>
    <w:rsid w:val="00790B85"/>
    <w:rsid w:val="00790BE1"/>
    <w:rsid w:val="00790FDA"/>
    <w:rsid w:val="007913D3"/>
    <w:rsid w:val="00791473"/>
    <w:rsid w:val="00791504"/>
    <w:rsid w:val="007916AB"/>
    <w:rsid w:val="00791B79"/>
    <w:rsid w:val="00791DFD"/>
    <w:rsid w:val="00791EA4"/>
    <w:rsid w:val="00792074"/>
    <w:rsid w:val="00792097"/>
    <w:rsid w:val="007921E6"/>
    <w:rsid w:val="007923E8"/>
    <w:rsid w:val="0079271C"/>
    <w:rsid w:val="0079281E"/>
    <w:rsid w:val="00792AAF"/>
    <w:rsid w:val="007935D7"/>
    <w:rsid w:val="00793749"/>
    <w:rsid w:val="00793916"/>
    <w:rsid w:val="00793AB6"/>
    <w:rsid w:val="00794268"/>
    <w:rsid w:val="00794412"/>
    <w:rsid w:val="007948BA"/>
    <w:rsid w:val="007949EE"/>
    <w:rsid w:val="00794AE5"/>
    <w:rsid w:val="00794C19"/>
    <w:rsid w:val="00794DB2"/>
    <w:rsid w:val="00794EA1"/>
    <w:rsid w:val="007952F5"/>
    <w:rsid w:val="00795386"/>
    <w:rsid w:val="007953FB"/>
    <w:rsid w:val="00795589"/>
    <w:rsid w:val="007959C7"/>
    <w:rsid w:val="00795A8C"/>
    <w:rsid w:val="00795C3D"/>
    <w:rsid w:val="00795DA5"/>
    <w:rsid w:val="00795E02"/>
    <w:rsid w:val="00796267"/>
    <w:rsid w:val="007964F9"/>
    <w:rsid w:val="007967E3"/>
    <w:rsid w:val="00796A60"/>
    <w:rsid w:val="00796A84"/>
    <w:rsid w:val="00796B48"/>
    <w:rsid w:val="00796BDC"/>
    <w:rsid w:val="00796D5B"/>
    <w:rsid w:val="00796DE7"/>
    <w:rsid w:val="00796EE8"/>
    <w:rsid w:val="00796FF8"/>
    <w:rsid w:val="00797070"/>
    <w:rsid w:val="007970C2"/>
    <w:rsid w:val="007971C5"/>
    <w:rsid w:val="00797232"/>
    <w:rsid w:val="0079768E"/>
    <w:rsid w:val="0079786A"/>
    <w:rsid w:val="00797A89"/>
    <w:rsid w:val="00797D5B"/>
    <w:rsid w:val="007A0165"/>
    <w:rsid w:val="007A027B"/>
    <w:rsid w:val="007A0898"/>
    <w:rsid w:val="007A0941"/>
    <w:rsid w:val="007A0B77"/>
    <w:rsid w:val="007A0F1A"/>
    <w:rsid w:val="007A0F75"/>
    <w:rsid w:val="007A1090"/>
    <w:rsid w:val="007A13F3"/>
    <w:rsid w:val="007A13FF"/>
    <w:rsid w:val="007A1576"/>
    <w:rsid w:val="007A1C79"/>
    <w:rsid w:val="007A1F03"/>
    <w:rsid w:val="007A1FF3"/>
    <w:rsid w:val="007A20BE"/>
    <w:rsid w:val="007A2140"/>
    <w:rsid w:val="007A237C"/>
    <w:rsid w:val="007A250F"/>
    <w:rsid w:val="007A2550"/>
    <w:rsid w:val="007A2606"/>
    <w:rsid w:val="007A295A"/>
    <w:rsid w:val="007A2D7E"/>
    <w:rsid w:val="007A2D93"/>
    <w:rsid w:val="007A2E28"/>
    <w:rsid w:val="007A2E3A"/>
    <w:rsid w:val="007A342E"/>
    <w:rsid w:val="007A36C3"/>
    <w:rsid w:val="007A3733"/>
    <w:rsid w:val="007A37EC"/>
    <w:rsid w:val="007A398D"/>
    <w:rsid w:val="007A3A01"/>
    <w:rsid w:val="007A3C3D"/>
    <w:rsid w:val="007A3C4E"/>
    <w:rsid w:val="007A3EFB"/>
    <w:rsid w:val="007A4835"/>
    <w:rsid w:val="007A4A4E"/>
    <w:rsid w:val="007A4B19"/>
    <w:rsid w:val="007A4C76"/>
    <w:rsid w:val="007A4DF0"/>
    <w:rsid w:val="007A4E61"/>
    <w:rsid w:val="007A5103"/>
    <w:rsid w:val="007A51C9"/>
    <w:rsid w:val="007A526F"/>
    <w:rsid w:val="007A56D2"/>
    <w:rsid w:val="007A5725"/>
    <w:rsid w:val="007A5BB4"/>
    <w:rsid w:val="007A5BB9"/>
    <w:rsid w:val="007A5DA2"/>
    <w:rsid w:val="007A5FDA"/>
    <w:rsid w:val="007A60AE"/>
    <w:rsid w:val="007A6235"/>
    <w:rsid w:val="007A6237"/>
    <w:rsid w:val="007A64AF"/>
    <w:rsid w:val="007A6918"/>
    <w:rsid w:val="007A6B27"/>
    <w:rsid w:val="007A7172"/>
    <w:rsid w:val="007A73A2"/>
    <w:rsid w:val="007A7718"/>
    <w:rsid w:val="007A77DE"/>
    <w:rsid w:val="007A7941"/>
    <w:rsid w:val="007A7978"/>
    <w:rsid w:val="007A7C7D"/>
    <w:rsid w:val="007A7DCA"/>
    <w:rsid w:val="007B036A"/>
    <w:rsid w:val="007B0690"/>
    <w:rsid w:val="007B07EE"/>
    <w:rsid w:val="007B0B95"/>
    <w:rsid w:val="007B0C6D"/>
    <w:rsid w:val="007B0EB9"/>
    <w:rsid w:val="007B0F93"/>
    <w:rsid w:val="007B1051"/>
    <w:rsid w:val="007B147D"/>
    <w:rsid w:val="007B16A4"/>
    <w:rsid w:val="007B17AA"/>
    <w:rsid w:val="007B188C"/>
    <w:rsid w:val="007B1A09"/>
    <w:rsid w:val="007B1A97"/>
    <w:rsid w:val="007B1CB2"/>
    <w:rsid w:val="007B1CF8"/>
    <w:rsid w:val="007B1DA7"/>
    <w:rsid w:val="007B1E72"/>
    <w:rsid w:val="007B1FB7"/>
    <w:rsid w:val="007B2083"/>
    <w:rsid w:val="007B20D4"/>
    <w:rsid w:val="007B2496"/>
    <w:rsid w:val="007B24C3"/>
    <w:rsid w:val="007B2713"/>
    <w:rsid w:val="007B2747"/>
    <w:rsid w:val="007B27FF"/>
    <w:rsid w:val="007B28F6"/>
    <w:rsid w:val="007B2AD9"/>
    <w:rsid w:val="007B2B18"/>
    <w:rsid w:val="007B2CF3"/>
    <w:rsid w:val="007B2D3F"/>
    <w:rsid w:val="007B2FEF"/>
    <w:rsid w:val="007B3088"/>
    <w:rsid w:val="007B30FE"/>
    <w:rsid w:val="007B3146"/>
    <w:rsid w:val="007B35A9"/>
    <w:rsid w:val="007B38AA"/>
    <w:rsid w:val="007B38E0"/>
    <w:rsid w:val="007B3F88"/>
    <w:rsid w:val="007B4028"/>
    <w:rsid w:val="007B4162"/>
    <w:rsid w:val="007B41F7"/>
    <w:rsid w:val="007B4361"/>
    <w:rsid w:val="007B4732"/>
    <w:rsid w:val="007B475E"/>
    <w:rsid w:val="007B47CB"/>
    <w:rsid w:val="007B4C3B"/>
    <w:rsid w:val="007B4C70"/>
    <w:rsid w:val="007B4F4E"/>
    <w:rsid w:val="007B50BE"/>
    <w:rsid w:val="007B527D"/>
    <w:rsid w:val="007B534D"/>
    <w:rsid w:val="007B5497"/>
    <w:rsid w:val="007B552D"/>
    <w:rsid w:val="007B55B3"/>
    <w:rsid w:val="007B56AF"/>
    <w:rsid w:val="007B57B7"/>
    <w:rsid w:val="007B580E"/>
    <w:rsid w:val="007B5B78"/>
    <w:rsid w:val="007B5E30"/>
    <w:rsid w:val="007B5E95"/>
    <w:rsid w:val="007B5EED"/>
    <w:rsid w:val="007B6009"/>
    <w:rsid w:val="007B65F1"/>
    <w:rsid w:val="007B6737"/>
    <w:rsid w:val="007B676C"/>
    <w:rsid w:val="007B683D"/>
    <w:rsid w:val="007B684E"/>
    <w:rsid w:val="007B6C84"/>
    <w:rsid w:val="007B6D37"/>
    <w:rsid w:val="007B7084"/>
    <w:rsid w:val="007B712B"/>
    <w:rsid w:val="007B71D2"/>
    <w:rsid w:val="007B7337"/>
    <w:rsid w:val="007B7511"/>
    <w:rsid w:val="007B76AF"/>
    <w:rsid w:val="007B771E"/>
    <w:rsid w:val="007B78E2"/>
    <w:rsid w:val="007B791C"/>
    <w:rsid w:val="007B7C6C"/>
    <w:rsid w:val="007C0245"/>
    <w:rsid w:val="007C0451"/>
    <w:rsid w:val="007C0594"/>
    <w:rsid w:val="007C07C9"/>
    <w:rsid w:val="007C093E"/>
    <w:rsid w:val="007C0E8D"/>
    <w:rsid w:val="007C11E3"/>
    <w:rsid w:val="007C1346"/>
    <w:rsid w:val="007C150B"/>
    <w:rsid w:val="007C1597"/>
    <w:rsid w:val="007C193E"/>
    <w:rsid w:val="007C1A61"/>
    <w:rsid w:val="007C1D59"/>
    <w:rsid w:val="007C1FCE"/>
    <w:rsid w:val="007C1FEA"/>
    <w:rsid w:val="007C2274"/>
    <w:rsid w:val="007C2469"/>
    <w:rsid w:val="007C260F"/>
    <w:rsid w:val="007C266F"/>
    <w:rsid w:val="007C2B04"/>
    <w:rsid w:val="007C2C3A"/>
    <w:rsid w:val="007C2CD8"/>
    <w:rsid w:val="007C31E6"/>
    <w:rsid w:val="007C323A"/>
    <w:rsid w:val="007C3252"/>
    <w:rsid w:val="007C3451"/>
    <w:rsid w:val="007C3698"/>
    <w:rsid w:val="007C3982"/>
    <w:rsid w:val="007C3EB2"/>
    <w:rsid w:val="007C3EBD"/>
    <w:rsid w:val="007C3EED"/>
    <w:rsid w:val="007C426D"/>
    <w:rsid w:val="007C47E7"/>
    <w:rsid w:val="007C485B"/>
    <w:rsid w:val="007C492E"/>
    <w:rsid w:val="007C4A61"/>
    <w:rsid w:val="007C4ED7"/>
    <w:rsid w:val="007C4EF2"/>
    <w:rsid w:val="007C5015"/>
    <w:rsid w:val="007C51C5"/>
    <w:rsid w:val="007C540D"/>
    <w:rsid w:val="007C5484"/>
    <w:rsid w:val="007C5527"/>
    <w:rsid w:val="007C5582"/>
    <w:rsid w:val="007C560A"/>
    <w:rsid w:val="007C5935"/>
    <w:rsid w:val="007C597A"/>
    <w:rsid w:val="007C5A3B"/>
    <w:rsid w:val="007C5C11"/>
    <w:rsid w:val="007C5CE8"/>
    <w:rsid w:val="007C5FB9"/>
    <w:rsid w:val="007C633B"/>
    <w:rsid w:val="007C6368"/>
    <w:rsid w:val="007C64BD"/>
    <w:rsid w:val="007C6536"/>
    <w:rsid w:val="007C66AC"/>
    <w:rsid w:val="007C6938"/>
    <w:rsid w:val="007C6A2C"/>
    <w:rsid w:val="007C6C18"/>
    <w:rsid w:val="007C6CCB"/>
    <w:rsid w:val="007C6CD6"/>
    <w:rsid w:val="007C7723"/>
    <w:rsid w:val="007C7727"/>
    <w:rsid w:val="007C7BDA"/>
    <w:rsid w:val="007C7EA5"/>
    <w:rsid w:val="007C7F8A"/>
    <w:rsid w:val="007C7FD3"/>
    <w:rsid w:val="007D00EF"/>
    <w:rsid w:val="007D015C"/>
    <w:rsid w:val="007D03D0"/>
    <w:rsid w:val="007D03F5"/>
    <w:rsid w:val="007D0727"/>
    <w:rsid w:val="007D08D7"/>
    <w:rsid w:val="007D0AA0"/>
    <w:rsid w:val="007D0BF9"/>
    <w:rsid w:val="007D0E98"/>
    <w:rsid w:val="007D0FAB"/>
    <w:rsid w:val="007D0FC2"/>
    <w:rsid w:val="007D10A0"/>
    <w:rsid w:val="007D122E"/>
    <w:rsid w:val="007D14BE"/>
    <w:rsid w:val="007D1738"/>
    <w:rsid w:val="007D18C8"/>
    <w:rsid w:val="007D18DB"/>
    <w:rsid w:val="007D1AD3"/>
    <w:rsid w:val="007D2131"/>
    <w:rsid w:val="007D2211"/>
    <w:rsid w:val="007D2312"/>
    <w:rsid w:val="007D279C"/>
    <w:rsid w:val="007D2961"/>
    <w:rsid w:val="007D2CC0"/>
    <w:rsid w:val="007D2E05"/>
    <w:rsid w:val="007D2E1F"/>
    <w:rsid w:val="007D308F"/>
    <w:rsid w:val="007D3158"/>
    <w:rsid w:val="007D3469"/>
    <w:rsid w:val="007D34BE"/>
    <w:rsid w:val="007D3593"/>
    <w:rsid w:val="007D3636"/>
    <w:rsid w:val="007D3796"/>
    <w:rsid w:val="007D3BBE"/>
    <w:rsid w:val="007D3FD9"/>
    <w:rsid w:val="007D4164"/>
    <w:rsid w:val="007D4270"/>
    <w:rsid w:val="007D42E8"/>
    <w:rsid w:val="007D4339"/>
    <w:rsid w:val="007D4676"/>
    <w:rsid w:val="007D475E"/>
    <w:rsid w:val="007D4A0F"/>
    <w:rsid w:val="007D4B8A"/>
    <w:rsid w:val="007D4D57"/>
    <w:rsid w:val="007D4E04"/>
    <w:rsid w:val="007D4F9D"/>
    <w:rsid w:val="007D5133"/>
    <w:rsid w:val="007D5372"/>
    <w:rsid w:val="007D5413"/>
    <w:rsid w:val="007D54C6"/>
    <w:rsid w:val="007D551A"/>
    <w:rsid w:val="007D5636"/>
    <w:rsid w:val="007D5788"/>
    <w:rsid w:val="007D597E"/>
    <w:rsid w:val="007D59B3"/>
    <w:rsid w:val="007D5C94"/>
    <w:rsid w:val="007D5DDD"/>
    <w:rsid w:val="007D5E8C"/>
    <w:rsid w:val="007D6032"/>
    <w:rsid w:val="007D62C9"/>
    <w:rsid w:val="007D6423"/>
    <w:rsid w:val="007D654C"/>
    <w:rsid w:val="007D65DE"/>
    <w:rsid w:val="007D65DF"/>
    <w:rsid w:val="007D671D"/>
    <w:rsid w:val="007D6958"/>
    <w:rsid w:val="007D6A67"/>
    <w:rsid w:val="007D6ABE"/>
    <w:rsid w:val="007D6D1B"/>
    <w:rsid w:val="007D711D"/>
    <w:rsid w:val="007D728F"/>
    <w:rsid w:val="007D7572"/>
    <w:rsid w:val="007D75F3"/>
    <w:rsid w:val="007D7729"/>
    <w:rsid w:val="007D7C34"/>
    <w:rsid w:val="007E03FA"/>
    <w:rsid w:val="007E046D"/>
    <w:rsid w:val="007E0845"/>
    <w:rsid w:val="007E08FF"/>
    <w:rsid w:val="007E0A8D"/>
    <w:rsid w:val="007E0D35"/>
    <w:rsid w:val="007E1227"/>
    <w:rsid w:val="007E1282"/>
    <w:rsid w:val="007E15D1"/>
    <w:rsid w:val="007E1A22"/>
    <w:rsid w:val="007E1A67"/>
    <w:rsid w:val="007E1C93"/>
    <w:rsid w:val="007E1EAE"/>
    <w:rsid w:val="007E22C1"/>
    <w:rsid w:val="007E286B"/>
    <w:rsid w:val="007E293E"/>
    <w:rsid w:val="007E2D28"/>
    <w:rsid w:val="007E2F21"/>
    <w:rsid w:val="007E3041"/>
    <w:rsid w:val="007E30DF"/>
    <w:rsid w:val="007E30FC"/>
    <w:rsid w:val="007E3297"/>
    <w:rsid w:val="007E33D7"/>
    <w:rsid w:val="007E35BE"/>
    <w:rsid w:val="007E35F4"/>
    <w:rsid w:val="007E3A6D"/>
    <w:rsid w:val="007E3AE3"/>
    <w:rsid w:val="007E3B1E"/>
    <w:rsid w:val="007E3B22"/>
    <w:rsid w:val="007E3C32"/>
    <w:rsid w:val="007E3E26"/>
    <w:rsid w:val="007E3E93"/>
    <w:rsid w:val="007E410B"/>
    <w:rsid w:val="007E41A2"/>
    <w:rsid w:val="007E426A"/>
    <w:rsid w:val="007E442D"/>
    <w:rsid w:val="007E451C"/>
    <w:rsid w:val="007E4753"/>
    <w:rsid w:val="007E4839"/>
    <w:rsid w:val="007E48FA"/>
    <w:rsid w:val="007E4D0B"/>
    <w:rsid w:val="007E4D0C"/>
    <w:rsid w:val="007E4DDD"/>
    <w:rsid w:val="007E5070"/>
    <w:rsid w:val="007E5260"/>
    <w:rsid w:val="007E5419"/>
    <w:rsid w:val="007E5625"/>
    <w:rsid w:val="007E570F"/>
    <w:rsid w:val="007E5871"/>
    <w:rsid w:val="007E5878"/>
    <w:rsid w:val="007E593A"/>
    <w:rsid w:val="007E5B1E"/>
    <w:rsid w:val="007E5D45"/>
    <w:rsid w:val="007E5DA0"/>
    <w:rsid w:val="007E5E97"/>
    <w:rsid w:val="007E636E"/>
    <w:rsid w:val="007E6501"/>
    <w:rsid w:val="007E6518"/>
    <w:rsid w:val="007E6525"/>
    <w:rsid w:val="007E6666"/>
    <w:rsid w:val="007E6A64"/>
    <w:rsid w:val="007E6ABA"/>
    <w:rsid w:val="007E6C71"/>
    <w:rsid w:val="007E7143"/>
    <w:rsid w:val="007E7216"/>
    <w:rsid w:val="007E72DD"/>
    <w:rsid w:val="007E7349"/>
    <w:rsid w:val="007E73FE"/>
    <w:rsid w:val="007E7B11"/>
    <w:rsid w:val="007E7DDD"/>
    <w:rsid w:val="007F0009"/>
    <w:rsid w:val="007F01E8"/>
    <w:rsid w:val="007F0330"/>
    <w:rsid w:val="007F0922"/>
    <w:rsid w:val="007F0B8D"/>
    <w:rsid w:val="007F0BAB"/>
    <w:rsid w:val="007F0DF9"/>
    <w:rsid w:val="007F12B0"/>
    <w:rsid w:val="007F1766"/>
    <w:rsid w:val="007F1815"/>
    <w:rsid w:val="007F1A4E"/>
    <w:rsid w:val="007F1C19"/>
    <w:rsid w:val="007F1D97"/>
    <w:rsid w:val="007F1DDF"/>
    <w:rsid w:val="007F2021"/>
    <w:rsid w:val="007F2093"/>
    <w:rsid w:val="007F22A3"/>
    <w:rsid w:val="007F22FB"/>
    <w:rsid w:val="007F2323"/>
    <w:rsid w:val="007F2662"/>
    <w:rsid w:val="007F281B"/>
    <w:rsid w:val="007F2E51"/>
    <w:rsid w:val="007F2EC0"/>
    <w:rsid w:val="007F353B"/>
    <w:rsid w:val="007F381C"/>
    <w:rsid w:val="007F3A81"/>
    <w:rsid w:val="007F3BCB"/>
    <w:rsid w:val="007F3E3D"/>
    <w:rsid w:val="007F3FA4"/>
    <w:rsid w:val="007F4543"/>
    <w:rsid w:val="007F4676"/>
    <w:rsid w:val="007F4A36"/>
    <w:rsid w:val="007F4BB4"/>
    <w:rsid w:val="007F4E08"/>
    <w:rsid w:val="007F4EE2"/>
    <w:rsid w:val="007F50F9"/>
    <w:rsid w:val="007F55FF"/>
    <w:rsid w:val="007F5663"/>
    <w:rsid w:val="007F56D8"/>
    <w:rsid w:val="007F5749"/>
    <w:rsid w:val="007F5D68"/>
    <w:rsid w:val="007F5D90"/>
    <w:rsid w:val="007F5DA7"/>
    <w:rsid w:val="007F5F5D"/>
    <w:rsid w:val="007F63BA"/>
    <w:rsid w:val="007F66F7"/>
    <w:rsid w:val="007F672A"/>
    <w:rsid w:val="007F6976"/>
    <w:rsid w:val="007F6C12"/>
    <w:rsid w:val="007F6C82"/>
    <w:rsid w:val="007F6CAB"/>
    <w:rsid w:val="007F7263"/>
    <w:rsid w:val="007F7282"/>
    <w:rsid w:val="007F72BC"/>
    <w:rsid w:val="007F751C"/>
    <w:rsid w:val="007F76BF"/>
    <w:rsid w:val="007F7CC5"/>
    <w:rsid w:val="007F7ECF"/>
    <w:rsid w:val="007F7FD4"/>
    <w:rsid w:val="0080008C"/>
    <w:rsid w:val="008000B8"/>
    <w:rsid w:val="008000F5"/>
    <w:rsid w:val="0080024A"/>
    <w:rsid w:val="008002BB"/>
    <w:rsid w:val="00800348"/>
    <w:rsid w:val="008005B5"/>
    <w:rsid w:val="00800A2B"/>
    <w:rsid w:val="00800C76"/>
    <w:rsid w:val="00800D69"/>
    <w:rsid w:val="00800D8E"/>
    <w:rsid w:val="00800E7E"/>
    <w:rsid w:val="008010C2"/>
    <w:rsid w:val="00801103"/>
    <w:rsid w:val="00801187"/>
    <w:rsid w:val="00801206"/>
    <w:rsid w:val="00801355"/>
    <w:rsid w:val="008015E0"/>
    <w:rsid w:val="008018E8"/>
    <w:rsid w:val="00801941"/>
    <w:rsid w:val="00801B7B"/>
    <w:rsid w:val="00801C30"/>
    <w:rsid w:val="00801C93"/>
    <w:rsid w:val="00802044"/>
    <w:rsid w:val="008028A5"/>
    <w:rsid w:val="008029CF"/>
    <w:rsid w:val="00802A4F"/>
    <w:rsid w:val="00802A79"/>
    <w:rsid w:val="00802F31"/>
    <w:rsid w:val="00803505"/>
    <w:rsid w:val="0080355C"/>
    <w:rsid w:val="008036A8"/>
    <w:rsid w:val="00803717"/>
    <w:rsid w:val="0080380F"/>
    <w:rsid w:val="00803C9F"/>
    <w:rsid w:val="00803D7D"/>
    <w:rsid w:val="00803F48"/>
    <w:rsid w:val="00803F4F"/>
    <w:rsid w:val="00803FB4"/>
    <w:rsid w:val="0080413D"/>
    <w:rsid w:val="00804172"/>
    <w:rsid w:val="0080450C"/>
    <w:rsid w:val="00805057"/>
    <w:rsid w:val="00805088"/>
    <w:rsid w:val="0080515B"/>
    <w:rsid w:val="008051BB"/>
    <w:rsid w:val="00805333"/>
    <w:rsid w:val="00805345"/>
    <w:rsid w:val="008057D8"/>
    <w:rsid w:val="00805998"/>
    <w:rsid w:val="00805B15"/>
    <w:rsid w:val="00805B88"/>
    <w:rsid w:val="00805CBD"/>
    <w:rsid w:val="00805D17"/>
    <w:rsid w:val="00806373"/>
    <w:rsid w:val="00806845"/>
    <w:rsid w:val="00806BFE"/>
    <w:rsid w:val="00806D91"/>
    <w:rsid w:val="00807136"/>
    <w:rsid w:val="008071FD"/>
    <w:rsid w:val="00807255"/>
    <w:rsid w:val="008072E1"/>
    <w:rsid w:val="00807CA2"/>
    <w:rsid w:val="00807FB2"/>
    <w:rsid w:val="00810082"/>
    <w:rsid w:val="0081008D"/>
    <w:rsid w:val="008100FD"/>
    <w:rsid w:val="008102BC"/>
    <w:rsid w:val="008105CF"/>
    <w:rsid w:val="00810638"/>
    <w:rsid w:val="00810735"/>
    <w:rsid w:val="0081090D"/>
    <w:rsid w:val="008109CE"/>
    <w:rsid w:val="00810A50"/>
    <w:rsid w:val="00810E40"/>
    <w:rsid w:val="00810F73"/>
    <w:rsid w:val="0081110D"/>
    <w:rsid w:val="00811206"/>
    <w:rsid w:val="00811469"/>
    <w:rsid w:val="00811574"/>
    <w:rsid w:val="00811823"/>
    <w:rsid w:val="0081199F"/>
    <w:rsid w:val="00811B0B"/>
    <w:rsid w:val="00811BC4"/>
    <w:rsid w:val="00811C5B"/>
    <w:rsid w:val="00811CE3"/>
    <w:rsid w:val="00811D66"/>
    <w:rsid w:val="00811DAF"/>
    <w:rsid w:val="00812104"/>
    <w:rsid w:val="0081239D"/>
    <w:rsid w:val="00812494"/>
    <w:rsid w:val="008124A1"/>
    <w:rsid w:val="00812557"/>
    <w:rsid w:val="0081259F"/>
    <w:rsid w:val="00812636"/>
    <w:rsid w:val="0081276A"/>
    <w:rsid w:val="00812C05"/>
    <w:rsid w:val="00813184"/>
    <w:rsid w:val="00813484"/>
    <w:rsid w:val="00813693"/>
    <w:rsid w:val="00813EB9"/>
    <w:rsid w:val="00813ECB"/>
    <w:rsid w:val="00813F2C"/>
    <w:rsid w:val="00813F58"/>
    <w:rsid w:val="00814222"/>
    <w:rsid w:val="00814606"/>
    <w:rsid w:val="008146B9"/>
    <w:rsid w:val="00814B3B"/>
    <w:rsid w:val="00814BAC"/>
    <w:rsid w:val="00814F01"/>
    <w:rsid w:val="008150FC"/>
    <w:rsid w:val="0081511A"/>
    <w:rsid w:val="0081556F"/>
    <w:rsid w:val="00815675"/>
    <w:rsid w:val="0081567C"/>
    <w:rsid w:val="008157CA"/>
    <w:rsid w:val="00815E00"/>
    <w:rsid w:val="00815E31"/>
    <w:rsid w:val="008162B3"/>
    <w:rsid w:val="008166AE"/>
    <w:rsid w:val="00816732"/>
    <w:rsid w:val="00816ACC"/>
    <w:rsid w:val="00816B16"/>
    <w:rsid w:val="00816EDB"/>
    <w:rsid w:val="00816EEA"/>
    <w:rsid w:val="00817097"/>
    <w:rsid w:val="0081771B"/>
    <w:rsid w:val="00817852"/>
    <w:rsid w:val="00817BA8"/>
    <w:rsid w:val="00817CFB"/>
    <w:rsid w:val="00817F0D"/>
    <w:rsid w:val="00820081"/>
    <w:rsid w:val="00820281"/>
    <w:rsid w:val="008202ED"/>
    <w:rsid w:val="008204D2"/>
    <w:rsid w:val="00820589"/>
    <w:rsid w:val="008205C3"/>
    <w:rsid w:val="008205D0"/>
    <w:rsid w:val="008206D3"/>
    <w:rsid w:val="00820713"/>
    <w:rsid w:val="00820868"/>
    <w:rsid w:val="008208E2"/>
    <w:rsid w:val="00820963"/>
    <w:rsid w:val="00820CCF"/>
    <w:rsid w:val="00820E00"/>
    <w:rsid w:val="00820E06"/>
    <w:rsid w:val="0082105E"/>
    <w:rsid w:val="008210E4"/>
    <w:rsid w:val="0082146C"/>
    <w:rsid w:val="00821564"/>
    <w:rsid w:val="00821732"/>
    <w:rsid w:val="008219E4"/>
    <w:rsid w:val="00821A68"/>
    <w:rsid w:val="00821D13"/>
    <w:rsid w:val="00821D8D"/>
    <w:rsid w:val="00821E38"/>
    <w:rsid w:val="00821F29"/>
    <w:rsid w:val="00822269"/>
    <w:rsid w:val="00822325"/>
    <w:rsid w:val="00822382"/>
    <w:rsid w:val="00822516"/>
    <w:rsid w:val="0082265A"/>
    <w:rsid w:val="008227C3"/>
    <w:rsid w:val="008229A2"/>
    <w:rsid w:val="00822D4F"/>
    <w:rsid w:val="00822D6D"/>
    <w:rsid w:val="00822EBD"/>
    <w:rsid w:val="00823286"/>
    <w:rsid w:val="008233BA"/>
    <w:rsid w:val="0082357B"/>
    <w:rsid w:val="0082392D"/>
    <w:rsid w:val="00823C3B"/>
    <w:rsid w:val="00823E1B"/>
    <w:rsid w:val="00823FBD"/>
    <w:rsid w:val="00824276"/>
    <w:rsid w:val="00824291"/>
    <w:rsid w:val="008243BB"/>
    <w:rsid w:val="00824494"/>
    <w:rsid w:val="00824682"/>
    <w:rsid w:val="008247B0"/>
    <w:rsid w:val="00824A7D"/>
    <w:rsid w:val="00824B8A"/>
    <w:rsid w:val="00824BAB"/>
    <w:rsid w:val="00824DA4"/>
    <w:rsid w:val="00824F1B"/>
    <w:rsid w:val="00825A0F"/>
    <w:rsid w:val="00825BF2"/>
    <w:rsid w:val="00825CB7"/>
    <w:rsid w:val="008261A5"/>
    <w:rsid w:val="00826225"/>
    <w:rsid w:val="00826232"/>
    <w:rsid w:val="00826341"/>
    <w:rsid w:val="0082651D"/>
    <w:rsid w:val="00826599"/>
    <w:rsid w:val="00826611"/>
    <w:rsid w:val="00826745"/>
    <w:rsid w:val="00826C50"/>
    <w:rsid w:val="00826E4A"/>
    <w:rsid w:val="00826EFE"/>
    <w:rsid w:val="00827162"/>
    <w:rsid w:val="00827237"/>
    <w:rsid w:val="0082749A"/>
    <w:rsid w:val="0082765A"/>
    <w:rsid w:val="00827762"/>
    <w:rsid w:val="0082779E"/>
    <w:rsid w:val="008278E2"/>
    <w:rsid w:val="00827A09"/>
    <w:rsid w:val="0083024C"/>
    <w:rsid w:val="008303F5"/>
    <w:rsid w:val="008304C3"/>
    <w:rsid w:val="008305CE"/>
    <w:rsid w:val="008306EB"/>
    <w:rsid w:val="008309AF"/>
    <w:rsid w:val="00830E9A"/>
    <w:rsid w:val="008310D3"/>
    <w:rsid w:val="0083165B"/>
    <w:rsid w:val="008317A8"/>
    <w:rsid w:val="008317A9"/>
    <w:rsid w:val="00831994"/>
    <w:rsid w:val="0083199A"/>
    <w:rsid w:val="00831D73"/>
    <w:rsid w:val="008320B4"/>
    <w:rsid w:val="00832121"/>
    <w:rsid w:val="00832219"/>
    <w:rsid w:val="00832295"/>
    <w:rsid w:val="0083229B"/>
    <w:rsid w:val="00832457"/>
    <w:rsid w:val="00832564"/>
    <w:rsid w:val="008328F5"/>
    <w:rsid w:val="00832E15"/>
    <w:rsid w:val="00832F7A"/>
    <w:rsid w:val="00832FAA"/>
    <w:rsid w:val="008334E8"/>
    <w:rsid w:val="00833555"/>
    <w:rsid w:val="008335C4"/>
    <w:rsid w:val="008335C7"/>
    <w:rsid w:val="0083363D"/>
    <w:rsid w:val="008338CC"/>
    <w:rsid w:val="008339A0"/>
    <w:rsid w:val="008339A6"/>
    <w:rsid w:val="00833C46"/>
    <w:rsid w:val="00833F22"/>
    <w:rsid w:val="00833F83"/>
    <w:rsid w:val="0083406B"/>
    <w:rsid w:val="00834335"/>
    <w:rsid w:val="0083440D"/>
    <w:rsid w:val="0083467F"/>
    <w:rsid w:val="00834873"/>
    <w:rsid w:val="00834A9C"/>
    <w:rsid w:val="00834B52"/>
    <w:rsid w:val="00834D6F"/>
    <w:rsid w:val="00834E4B"/>
    <w:rsid w:val="00835133"/>
    <w:rsid w:val="00835199"/>
    <w:rsid w:val="008355DD"/>
    <w:rsid w:val="0083596B"/>
    <w:rsid w:val="00835C2D"/>
    <w:rsid w:val="00836221"/>
    <w:rsid w:val="00836832"/>
    <w:rsid w:val="00836948"/>
    <w:rsid w:val="00836BAB"/>
    <w:rsid w:val="00836DA0"/>
    <w:rsid w:val="00836F20"/>
    <w:rsid w:val="00837407"/>
    <w:rsid w:val="008374B5"/>
    <w:rsid w:val="00837598"/>
    <w:rsid w:val="0083761A"/>
    <w:rsid w:val="0083764A"/>
    <w:rsid w:val="0083773B"/>
    <w:rsid w:val="008377D8"/>
    <w:rsid w:val="0083795C"/>
    <w:rsid w:val="00837CDB"/>
    <w:rsid w:val="00837D0B"/>
    <w:rsid w:val="00840192"/>
    <w:rsid w:val="008403D2"/>
    <w:rsid w:val="00840434"/>
    <w:rsid w:val="00840496"/>
    <w:rsid w:val="0084068E"/>
    <w:rsid w:val="00840712"/>
    <w:rsid w:val="008407F3"/>
    <w:rsid w:val="00840928"/>
    <w:rsid w:val="008409A1"/>
    <w:rsid w:val="00840FB6"/>
    <w:rsid w:val="0084191A"/>
    <w:rsid w:val="00841A68"/>
    <w:rsid w:val="00841A82"/>
    <w:rsid w:val="00841DD4"/>
    <w:rsid w:val="00841E59"/>
    <w:rsid w:val="00841F3C"/>
    <w:rsid w:val="00842078"/>
    <w:rsid w:val="008422A6"/>
    <w:rsid w:val="008424B3"/>
    <w:rsid w:val="0084264D"/>
    <w:rsid w:val="0084281A"/>
    <w:rsid w:val="00842BD0"/>
    <w:rsid w:val="00842CA4"/>
    <w:rsid w:val="00842D17"/>
    <w:rsid w:val="0084307A"/>
    <w:rsid w:val="00843176"/>
    <w:rsid w:val="0084339C"/>
    <w:rsid w:val="0084393D"/>
    <w:rsid w:val="00843BBC"/>
    <w:rsid w:val="00843CBE"/>
    <w:rsid w:val="008441FA"/>
    <w:rsid w:val="008442E2"/>
    <w:rsid w:val="008446FA"/>
    <w:rsid w:val="00844A3A"/>
    <w:rsid w:val="00844B0E"/>
    <w:rsid w:val="00844DD3"/>
    <w:rsid w:val="00844DEB"/>
    <w:rsid w:val="00844FF4"/>
    <w:rsid w:val="00845073"/>
    <w:rsid w:val="00845148"/>
    <w:rsid w:val="008453B8"/>
    <w:rsid w:val="00845642"/>
    <w:rsid w:val="00845730"/>
    <w:rsid w:val="00845788"/>
    <w:rsid w:val="00845D4D"/>
    <w:rsid w:val="00845E40"/>
    <w:rsid w:val="00845FF9"/>
    <w:rsid w:val="008462B2"/>
    <w:rsid w:val="008462BE"/>
    <w:rsid w:val="00846326"/>
    <w:rsid w:val="008463AB"/>
    <w:rsid w:val="008463B8"/>
    <w:rsid w:val="00846491"/>
    <w:rsid w:val="00846520"/>
    <w:rsid w:val="008465A1"/>
    <w:rsid w:val="00846671"/>
    <w:rsid w:val="008468E9"/>
    <w:rsid w:val="008468F8"/>
    <w:rsid w:val="00846BB6"/>
    <w:rsid w:val="00846D18"/>
    <w:rsid w:val="00846D59"/>
    <w:rsid w:val="00846D65"/>
    <w:rsid w:val="00847266"/>
    <w:rsid w:val="00847320"/>
    <w:rsid w:val="008473EC"/>
    <w:rsid w:val="008473F2"/>
    <w:rsid w:val="00847442"/>
    <w:rsid w:val="0084779D"/>
    <w:rsid w:val="0084798E"/>
    <w:rsid w:val="008479CA"/>
    <w:rsid w:val="00847ACF"/>
    <w:rsid w:val="00847B08"/>
    <w:rsid w:val="00847B16"/>
    <w:rsid w:val="00847BFD"/>
    <w:rsid w:val="00847DD8"/>
    <w:rsid w:val="00847F9E"/>
    <w:rsid w:val="008500F9"/>
    <w:rsid w:val="00850203"/>
    <w:rsid w:val="008503F6"/>
    <w:rsid w:val="0085062F"/>
    <w:rsid w:val="0085074B"/>
    <w:rsid w:val="00850A00"/>
    <w:rsid w:val="00850A13"/>
    <w:rsid w:val="00850B83"/>
    <w:rsid w:val="008511A9"/>
    <w:rsid w:val="008511CF"/>
    <w:rsid w:val="008513A9"/>
    <w:rsid w:val="008515CE"/>
    <w:rsid w:val="008515D6"/>
    <w:rsid w:val="0085196A"/>
    <w:rsid w:val="00851978"/>
    <w:rsid w:val="00851D17"/>
    <w:rsid w:val="00852230"/>
    <w:rsid w:val="0085223A"/>
    <w:rsid w:val="008525A8"/>
    <w:rsid w:val="008527EF"/>
    <w:rsid w:val="008529A0"/>
    <w:rsid w:val="008529ED"/>
    <w:rsid w:val="00852B02"/>
    <w:rsid w:val="00852D48"/>
    <w:rsid w:val="00853115"/>
    <w:rsid w:val="0085330B"/>
    <w:rsid w:val="008536AC"/>
    <w:rsid w:val="00853989"/>
    <w:rsid w:val="00853EBC"/>
    <w:rsid w:val="00854235"/>
    <w:rsid w:val="008542D9"/>
    <w:rsid w:val="0085438A"/>
    <w:rsid w:val="00854C42"/>
    <w:rsid w:val="00854CFB"/>
    <w:rsid w:val="00854DD9"/>
    <w:rsid w:val="00854DDE"/>
    <w:rsid w:val="00854E43"/>
    <w:rsid w:val="0085533C"/>
    <w:rsid w:val="008553C8"/>
    <w:rsid w:val="008554A0"/>
    <w:rsid w:val="008558A8"/>
    <w:rsid w:val="008558B1"/>
    <w:rsid w:val="0085594C"/>
    <w:rsid w:val="00855D1B"/>
    <w:rsid w:val="00855FAD"/>
    <w:rsid w:val="00855FBA"/>
    <w:rsid w:val="00856060"/>
    <w:rsid w:val="00856110"/>
    <w:rsid w:val="00856290"/>
    <w:rsid w:val="0085649D"/>
    <w:rsid w:val="00856504"/>
    <w:rsid w:val="00856635"/>
    <w:rsid w:val="00856686"/>
    <w:rsid w:val="00856E78"/>
    <w:rsid w:val="008572F0"/>
    <w:rsid w:val="00857688"/>
    <w:rsid w:val="008577C1"/>
    <w:rsid w:val="00857A1A"/>
    <w:rsid w:val="00857C02"/>
    <w:rsid w:val="00857C25"/>
    <w:rsid w:val="00857C52"/>
    <w:rsid w:val="00857D04"/>
    <w:rsid w:val="00857F55"/>
    <w:rsid w:val="00860182"/>
    <w:rsid w:val="00860685"/>
    <w:rsid w:val="00860695"/>
    <w:rsid w:val="008607D2"/>
    <w:rsid w:val="00860837"/>
    <w:rsid w:val="008608F6"/>
    <w:rsid w:val="00860961"/>
    <w:rsid w:val="00860AFC"/>
    <w:rsid w:val="00860E89"/>
    <w:rsid w:val="008612C0"/>
    <w:rsid w:val="00861699"/>
    <w:rsid w:val="00861914"/>
    <w:rsid w:val="008619BA"/>
    <w:rsid w:val="008619FE"/>
    <w:rsid w:val="00861A04"/>
    <w:rsid w:val="00861A84"/>
    <w:rsid w:val="00861C23"/>
    <w:rsid w:val="00861D41"/>
    <w:rsid w:val="00861D6D"/>
    <w:rsid w:val="00862403"/>
    <w:rsid w:val="00862420"/>
    <w:rsid w:val="00862549"/>
    <w:rsid w:val="00862CD6"/>
    <w:rsid w:val="00862D7F"/>
    <w:rsid w:val="00862DB4"/>
    <w:rsid w:val="00862EFB"/>
    <w:rsid w:val="00863304"/>
    <w:rsid w:val="0086333E"/>
    <w:rsid w:val="00863491"/>
    <w:rsid w:val="008636F6"/>
    <w:rsid w:val="008638A2"/>
    <w:rsid w:val="008638C3"/>
    <w:rsid w:val="008638E7"/>
    <w:rsid w:val="00863A18"/>
    <w:rsid w:val="00863B4B"/>
    <w:rsid w:val="00863ECE"/>
    <w:rsid w:val="00863F95"/>
    <w:rsid w:val="00864204"/>
    <w:rsid w:val="0086422F"/>
    <w:rsid w:val="008642EF"/>
    <w:rsid w:val="008643D9"/>
    <w:rsid w:val="00864440"/>
    <w:rsid w:val="008644FB"/>
    <w:rsid w:val="00864519"/>
    <w:rsid w:val="008646FB"/>
    <w:rsid w:val="008649F6"/>
    <w:rsid w:val="00864B05"/>
    <w:rsid w:val="00864D0A"/>
    <w:rsid w:val="008650A0"/>
    <w:rsid w:val="008650BD"/>
    <w:rsid w:val="0086522A"/>
    <w:rsid w:val="0086546F"/>
    <w:rsid w:val="00865523"/>
    <w:rsid w:val="0086581F"/>
    <w:rsid w:val="00865E99"/>
    <w:rsid w:val="008661A4"/>
    <w:rsid w:val="008665D8"/>
    <w:rsid w:val="008667FA"/>
    <w:rsid w:val="008668E3"/>
    <w:rsid w:val="00866A6F"/>
    <w:rsid w:val="00866AFD"/>
    <w:rsid w:val="00867004"/>
    <w:rsid w:val="00867006"/>
    <w:rsid w:val="00867136"/>
    <w:rsid w:val="008671B6"/>
    <w:rsid w:val="00867246"/>
    <w:rsid w:val="00867322"/>
    <w:rsid w:val="008673BD"/>
    <w:rsid w:val="008675B8"/>
    <w:rsid w:val="0086771C"/>
    <w:rsid w:val="008677E3"/>
    <w:rsid w:val="00867921"/>
    <w:rsid w:val="00867E68"/>
    <w:rsid w:val="00867E73"/>
    <w:rsid w:val="008700C5"/>
    <w:rsid w:val="008700E4"/>
    <w:rsid w:val="0087010C"/>
    <w:rsid w:val="00870218"/>
    <w:rsid w:val="0087022B"/>
    <w:rsid w:val="008702CD"/>
    <w:rsid w:val="008704AB"/>
    <w:rsid w:val="008706BA"/>
    <w:rsid w:val="0087094A"/>
    <w:rsid w:val="00870996"/>
    <w:rsid w:val="00870B71"/>
    <w:rsid w:val="00870D20"/>
    <w:rsid w:val="00870D82"/>
    <w:rsid w:val="00871011"/>
    <w:rsid w:val="0087107E"/>
    <w:rsid w:val="00871177"/>
    <w:rsid w:val="0087153F"/>
    <w:rsid w:val="008715B0"/>
    <w:rsid w:val="0087193A"/>
    <w:rsid w:val="00871E23"/>
    <w:rsid w:val="00871FA1"/>
    <w:rsid w:val="008720D6"/>
    <w:rsid w:val="0087231D"/>
    <w:rsid w:val="0087246A"/>
    <w:rsid w:val="008724D6"/>
    <w:rsid w:val="008725F2"/>
    <w:rsid w:val="0087264E"/>
    <w:rsid w:val="00872654"/>
    <w:rsid w:val="00872C86"/>
    <w:rsid w:val="00872D25"/>
    <w:rsid w:val="008732DD"/>
    <w:rsid w:val="0087359A"/>
    <w:rsid w:val="00873690"/>
    <w:rsid w:val="00873B3E"/>
    <w:rsid w:val="00873B75"/>
    <w:rsid w:val="0087403B"/>
    <w:rsid w:val="008740DC"/>
    <w:rsid w:val="00874127"/>
    <w:rsid w:val="008746EA"/>
    <w:rsid w:val="0087474E"/>
    <w:rsid w:val="0087479E"/>
    <w:rsid w:val="00874A6A"/>
    <w:rsid w:val="00874D7A"/>
    <w:rsid w:val="00874F27"/>
    <w:rsid w:val="00875169"/>
    <w:rsid w:val="0087520D"/>
    <w:rsid w:val="0087537B"/>
    <w:rsid w:val="00875387"/>
    <w:rsid w:val="00875466"/>
    <w:rsid w:val="00875491"/>
    <w:rsid w:val="0087568A"/>
    <w:rsid w:val="008756F3"/>
    <w:rsid w:val="00875759"/>
    <w:rsid w:val="008759B9"/>
    <w:rsid w:val="00875ADA"/>
    <w:rsid w:val="00875E50"/>
    <w:rsid w:val="008761FA"/>
    <w:rsid w:val="00876481"/>
    <w:rsid w:val="0087666B"/>
    <w:rsid w:val="008766B8"/>
    <w:rsid w:val="00876840"/>
    <w:rsid w:val="00876979"/>
    <w:rsid w:val="0087697E"/>
    <w:rsid w:val="008772D6"/>
    <w:rsid w:val="008774C2"/>
    <w:rsid w:val="00877827"/>
    <w:rsid w:val="0087783F"/>
    <w:rsid w:val="0087785E"/>
    <w:rsid w:val="008779E2"/>
    <w:rsid w:val="00877A87"/>
    <w:rsid w:val="00877B6B"/>
    <w:rsid w:val="00880513"/>
    <w:rsid w:val="008808A3"/>
    <w:rsid w:val="008808C3"/>
    <w:rsid w:val="00880B18"/>
    <w:rsid w:val="00880B4C"/>
    <w:rsid w:val="00880BD8"/>
    <w:rsid w:val="00880C54"/>
    <w:rsid w:val="00880C7C"/>
    <w:rsid w:val="00880C86"/>
    <w:rsid w:val="00880D9B"/>
    <w:rsid w:val="00881031"/>
    <w:rsid w:val="008810BE"/>
    <w:rsid w:val="0088133A"/>
    <w:rsid w:val="00881471"/>
    <w:rsid w:val="008814A9"/>
    <w:rsid w:val="008814AB"/>
    <w:rsid w:val="00881696"/>
    <w:rsid w:val="008818B8"/>
    <w:rsid w:val="008818D1"/>
    <w:rsid w:val="00881A2E"/>
    <w:rsid w:val="00881D83"/>
    <w:rsid w:val="00882601"/>
    <w:rsid w:val="008826C8"/>
    <w:rsid w:val="0088275D"/>
    <w:rsid w:val="00882B85"/>
    <w:rsid w:val="00882B9C"/>
    <w:rsid w:val="00882C01"/>
    <w:rsid w:val="00882D2D"/>
    <w:rsid w:val="00883254"/>
    <w:rsid w:val="0088333F"/>
    <w:rsid w:val="008834E1"/>
    <w:rsid w:val="0088356D"/>
    <w:rsid w:val="008835D7"/>
    <w:rsid w:val="00883725"/>
    <w:rsid w:val="00883AAE"/>
    <w:rsid w:val="00883C80"/>
    <w:rsid w:val="00883E6E"/>
    <w:rsid w:val="00883FF0"/>
    <w:rsid w:val="0088415E"/>
    <w:rsid w:val="008841B0"/>
    <w:rsid w:val="008843B4"/>
    <w:rsid w:val="00884593"/>
    <w:rsid w:val="0088478A"/>
    <w:rsid w:val="008847ED"/>
    <w:rsid w:val="008848F5"/>
    <w:rsid w:val="00884BA4"/>
    <w:rsid w:val="00884C58"/>
    <w:rsid w:val="00884D34"/>
    <w:rsid w:val="00884FCA"/>
    <w:rsid w:val="00884FF1"/>
    <w:rsid w:val="008850A8"/>
    <w:rsid w:val="00885251"/>
    <w:rsid w:val="00885349"/>
    <w:rsid w:val="0088544E"/>
    <w:rsid w:val="00885459"/>
    <w:rsid w:val="00885507"/>
    <w:rsid w:val="0088598F"/>
    <w:rsid w:val="00885B26"/>
    <w:rsid w:val="00885C2B"/>
    <w:rsid w:val="00885CA6"/>
    <w:rsid w:val="00885CE8"/>
    <w:rsid w:val="00885DD8"/>
    <w:rsid w:val="00885E27"/>
    <w:rsid w:val="00885E3B"/>
    <w:rsid w:val="00885F09"/>
    <w:rsid w:val="00885FF4"/>
    <w:rsid w:val="008861C8"/>
    <w:rsid w:val="0088626A"/>
    <w:rsid w:val="008868A0"/>
    <w:rsid w:val="008868FD"/>
    <w:rsid w:val="00886927"/>
    <w:rsid w:val="00886950"/>
    <w:rsid w:val="00886959"/>
    <w:rsid w:val="00887141"/>
    <w:rsid w:val="0088723D"/>
    <w:rsid w:val="0088770A"/>
    <w:rsid w:val="00887740"/>
    <w:rsid w:val="00887946"/>
    <w:rsid w:val="00887A3F"/>
    <w:rsid w:val="00887BE4"/>
    <w:rsid w:val="00887DF3"/>
    <w:rsid w:val="00887F28"/>
    <w:rsid w:val="00887F7D"/>
    <w:rsid w:val="0089000B"/>
    <w:rsid w:val="008902F6"/>
    <w:rsid w:val="008902FA"/>
    <w:rsid w:val="00890320"/>
    <w:rsid w:val="00890490"/>
    <w:rsid w:val="008904A1"/>
    <w:rsid w:val="00890583"/>
    <w:rsid w:val="008905B2"/>
    <w:rsid w:val="00890777"/>
    <w:rsid w:val="0089077B"/>
    <w:rsid w:val="00890942"/>
    <w:rsid w:val="0089095A"/>
    <w:rsid w:val="00890AEA"/>
    <w:rsid w:val="00890BF9"/>
    <w:rsid w:val="00890DC6"/>
    <w:rsid w:val="00890EA7"/>
    <w:rsid w:val="00890EDA"/>
    <w:rsid w:val="00890F0D"/>
    <w:rsid w:val="008910A3"/>
    <w:rsid w:val="00891599"/>
    <w:rsid w:val="00891BD6"/>
    <w:rsid w:val="00891C24"/>
    <w:rsid w:val="00891D6B"/>
    <w:rsid w:val="00891EB1"/>
    <w:rsid w:val="00891EBA"/>
    <w:rsid w:val="00891F05"/>
    <w:rsid w:val="0089218B"/>
    <w:rsid w:val="00892283"/>
    <w:rsid w:val="008922DC"/>
    <w:rsid w:val="008923CC"/>
    <w:rsid w:val="00892467"/>
    <w:rsid w:val="00892A41"/>
    <w:rsid w:val="00892B7A"/>
    <w:rsid w:val="00892E25"/>
    <w:rsid w:val="00893098"/>
    <w:rsid w:val="008930CB"/>
    <w:rsid w:val="00893160"/>
    <w:rsid w:val="00893558"/>
    <w:rsid w:val="0089360E"/>
    <w:rsid w:val="0089380C"/>
    <w:rsid w:val="0089382C"/>
    <w:rsid w:val="008938F3"/>
    <w:rsid w:val="00893BD5"/>
    <w:rsid w:val="00893C84"/>
    <w:rsid w:val="00893D96"/>
    <w:rsid w:val="00893DBC"/>
    <w:rsid w:val="0089409C"/>
    <w:rsid w:val="008943F8"/>
    <w:rsid w:val="00894660"/>
    <w:rsid w:val="00894BE0"/>
    <w:rsid w:val="00894CE3"/>
    <w:rsid w:val="00894F32"/>
    <w:rsid w:val="008950F3"/>
    <w:rsid w:val="00895322"/>
    <w:rsid w:val="008953D7"/>
    <w:rsid w:val="00895559"/>
    <w:rsid w:val="0089584D"/>
    <w:rsid w:val="00895963"/>
    <w:rsid w:val="008959EA"/>
    <w:rsid w:val="008959F8"/>
    <w:rsid w:val="00895B03"/>
    <w:rsid w:val="00895CB6"/>
    <w:rsid w:val="00895D59"/>
    <w:rsid w:val="008960B5"/>
    <w:rsid w:val="00896299"/>
    <w:rsid w:val="0089649C"/>
    <w:rsid w:val="00896535"/>
    <w:rsid w:val="00896720"/>
    <w:rsid w:val="008967B1"/>
    <w:rsid w:val="00896D4E"/>
    <w:rsid w:val="00896ED6"/>
    <w:rsid w:val="0089724B"/>
    <w:rsid w:val="008974FD"/>
    <w:rsid w:val="0089761B"/>
    <w:rsid w:val="0089772B"/>
    <w:rsid w:val="00897929"/>
    <w:rsid w:val="00897AAE"/>
    <w:rsid w:val="00897B7D"/>
    <w:rsid w:val="00897C5F"/>
    <w:rsid w:val="00897EEF"/>
    <w:rsid w:val="008A0018"/>
    <w:rsid w:val="008A00E9"/>
    <w:rsid w:val="008A0111"/>
    <w:rsid w:val="008A0137"/>
    <w:rsid w:val="008A0272"/>
    <w:rsid w:val="008A02A2"/>
    <w:rsid w:val="008A03C7"/>
    <w:rsid w:val="008A05EA"/>
    <w:rsid w:val="008A0655"/>
    <w:rsid w:val="008A0AA7"/>
    <w:rsid w:val="008A0B6D"/>
    <w:rsid w:val="008A0B97"/>
    <w:rsid w:val="008A0C2E"/>
    <w:rsid w:val="008A0FC8"/>
    <w:rsid w:val="008A12F0"/>
    <w:rsid w:val="008A1530"/>
    <w:rsid w:val="008A1553"/>
    <w:rsid w:val="008A15BF"/>
    <w:rsid w:val="008A15D9"/>
    <w:rsid w:val="008A1936"/>
    <w:rsid w:val="008A1A8C"/>
    <w:rsid w:val="008A1C5A"/>
    <w:rsid w:val="008A204C"/>
    <w:rsid w:val="008A2137"/>
    <w:rsid w:val="008A2159"/>
    <w:rsid w:val="008A221E"/>
    <w:rsid w:val="008A235C"/>
    <w:rsid w:val="008A258E"/>
    <w:rsid w:val="008A26AB"/>
    <w:rsid w:val="008A2A8C"/>
    <w:rsid w:val="008A31B4"/>
    <w:rsid w:val="008A31B7"/>
    <w:rsid w:val="008A3297"/>
    <w:rsid w:val="008A33A3"/>
    <w:rsid w:val="008A33BE"/>
    <w:rsid w:val="008A3431"/>
    <w:rsid w:val="008A3968"/>
    <w:rsid w:val="008A3A52"/>
    <w:rsid w:val="008A3A5F"/>
    <w:rsid w:val="008A4040"/>
    <w:rsid w:val="008A407E"/>
    <w:rsid w:val="008A4258"/>
    <w:rsid w:val="008A42FA"/>
    <w:rsid w:val="008A446B"/>
    <w:rsid w:val="008A4825"/>
    <w:rsid w:val="008A4C1C"/>
    <w:rsid w:val="008A4C48"/>
    <w:rsid w:val="008A4CDA"/>
    <w:rsid w:val="008A4D22"/>
    <w:rsid w:val="008A4DEE"/>
    <w:rsid w:val="008A5123"/>
    <w:rsid w:val="008A590D"/>
    <w:rsid w:val="008A5B22"/>
    <w:rsid w:val="008A5B7F"/>
    <w:rsid w:val="008A5D3D"/>
    <w:rsid w:val="008A5D41"/>
    <w:rsid w:val="008A63D2"/>
    <w:rsid w:val="008A645D"/>
    <w:rsid w:val="008A65A9"/>
    <w:rsid w:val="008A65CE"/>
    <w:rsid w:val="008A6A2E"/>
    <w:rsid w:val="008A6BCF"/>
    <w:rsid w:val="008A6C61"/>
    <w:rsid w:val="008A6DD0"/>
    <w:rsid w:val="008A6DDF"/>
    <w:rsid w:val="008A7137"/>
    <w:rsid w:val="008A71B3"/>
    <w:rsid w:val="008A72C9"/>
    <w:rsid w:val="008A73FC"/>
    <w:rsid w:val="008A74BB"/>
    <w:rsid w:val="008A75B3"/>
    <w:rsid w:val="008A75E3"/>
    <w:rsid w:val="008A764A"/>
    <w:rsid w:val="008A798D"/>
    <w:rsid w:val="008A7A0B"/>
    <w:rsid w:val="008A7B2A"/>
    <w:rsid w:val="008A7C06"/>
    <w:rsid w:val="008A7D84"/>
    <w:rsid w:val="008A7E34"/>
    <w:rsid w:val="008A7F8E"/>
    <w:rsid w:val="008B00BF"/>
    <w:rsid w:val="008B0452"/>
    <w:rsid w:val="008B089A"/>
    <w:rsid w:val="008B0B4F"/>
    <w:rsid w:val="008B0DC3"/>
    <w:rsid w:val="008B0EFE"/>
    <w:rsid w:val="008B0FAB"/>
    <w:rsid w:val="008B1311"/>
    <w:rsid w:val="008B157B"/>
    <w:rsid w:val="008B15CC"/>
    <w:rsid w:val="008B16C6"/>
    <w:rsid w:val="008B1805"/>
    <w:rsid w:val="008B1883"/>
    <w:rsid w:val="008B198C"/>
    <w:rsid w:val="008B1997"/>
    <w:rsid w:val="008B1B72"/>
    <w:rsid w:val="008B1BD2"/>
    <w:rsid w:val="008B1C1F"/>
    <w:rsid w:val="008B1DFF"/>
    <w:rsid w:val="008B2041"/>
    <w:rsid w:val="008B2210"/>
    <w:rsid w:val="008B23C3"/>
    <w:rsid w:val="008B2594"/>
    <w:rsid w:val="008B264E"/>
    <w:rsid w:val="008B26BD"/>
    <w:rsid w:val="008B27AA"/>
    <w:rsid w:val="008B285F"/>
    <w:rsid w:val="008B30DE"/>
    <w:rsid w:val="008B30F9"/>
    <w:rsid w:val="008B33EC"/>
    <w:rsid w:val="008B394A"/>
    <w:rsid w:val="008B397A"/>
    <w:rsid w:val="008B3F9D"/>
    <w:rsid w:val="008B4352"/>
    <w:rsid w:val="008B4630"/>
    <w:rsid w:val="008B4A41"/>
    <w:rsid w:val="008B4A4F"/>
    <w:rsid w:val="008B4A9B"/>
    <w:rsid w:val="008B4B26"/>
    <w:rsid w:val="008B587D"/>
    <w:rsid w:val="008B5A3D"/>
    <w:rsid w:val="008B5EEB"/>
    <w:rsid w:val="008B5F76"/>
    <w:rsid w:val="008B637D"/>
    <w:rsid w:val="008B647D"/>
    <w:rsid w:val="008B64FC"/>
    <w:rsid w:val="008B664F"/>
    <w:rsid w:val="008B678B"/>
    <w:rsid w:val="008B6981"/>
    <w:rsid w:val="008B69EE"/>
    <w:rsid w:val="008B6A98"/>
    <w:rsid w:val="008B6AC0"/>
    <w:rsid w:val="008B6B3B"/>
    <w:rsid w:val="008B73A5"/>
    <w:rsid w:val="008B751B"/>
    <w:rsid w:val="008B77AD"/>
    <w:rsid w:val="008B7994"/>
    <w:rsid w:val="008B79E2"/>
    <w:rsid w:val="008B7B83"/>
    <w:rsid w:val="008B7C83"/>
    <w:rsid w:val="008B7C8A"/>
    <w:rsid w:val="008B7EBB"/>
    <w:rsid w:val="008C01B1"/>
    <w:rsid w:val="008C030C"/>
    <w:rsid w:val="008C0626"/>
    <w:rsid w:val="008C0C82"/>
    <w:rsid w:val="008C0CA3"/>
    <w:rsid w:val="008C1143"/>
    <w:rsid w:val="008C118E"/>
    <w:rsid w:val="008C1229"/>
    <w:rsid w:val="008C126B"/>
    <w:rsid w:val="008C13CE"/>
    <w:rsid w:val="008C150F"/>
    <w:rsid w:val="008C15D6"/>
    <w:rsid w:val="008C161C"/>
    <w:rsid w:val="008C1907"/>
    <w:rsid w:val="008C19D5"/>
    <w:rsid w:val="008C19FB"/>
    <w:rsid w:val="008C1A03"/>
    <w:rsid w:val="008C1C30"/>
    <w:rsid w:val="008C1EF2"/>
    <w:rsid w:val="008C25C4"/>
    <w:rsid w:val="008C25E8"/>
    <w:rsid w:val="008C27CC"/>
    <w:rsid w:val="008C27EF"/>
    <w:rsid w:val="008C2B45"/>
    <w:rsid w:val="008C2D5B"/>
    <w:rsid w:val="008C305B"/>
    <w:rsid w:val="008C3198"/>
    <w:rsid w:val="008C325B"/>
    <w:rsid w:val="008C3330"/>
    <w:rsid w:val="008C3BDB"/>
    <w:rsid w:val="008C3D00"/>
    <w:rsid w:val="008C4371"/>
    <w:rsid w:val="008C4666"/>
    <w:rsid w:val="008C46CA"/>
    <w:rsid w:val="008C478E"/>
    <w:rsid w:val="008C481D"/>
    <w:rsid w:val="008C4D69"/>
    <w:rsid w:val="008C4E3A"/>
    <w:rsid w:val="008C4E9A"/>
    <w:rsid w:val="008C4FC2"/>
    <w:rsid w:val="008C5003"/>
    <w:rsid w:val="008C536A"/>
    <w:rsid w:val="008C5445"/>
    <w:rsid w:val="008C54A2"/>
    <w:rsid w:val="008C5554"/>
    <w:rsid w:val="008C5597"/>
    <w:rsid w:val="008C5639"/>
    <w:rsid w:val="008C5A81"/>
    <w:rsid w:val="008C5B12"/>
    <w:rsid w:val="008C6202"/>
    <w:rsid w:val="008C625B"/>
    <w:rsid w:val="008C63BC"/>
    <w:rsid w:val="008C65E5"/>
    <w:rsid w:val="008C6695"/>
    <w:rsid w:val="008C67C4"/>
    <w:rsid w:val="008C6A48"/>
    <w:rsid w:val="008C6DFB"/>
    <w:rsid w:val="008C73ED"/>
    <w:rsid w:val="008C7642"/>
    <w:rsid w:val="008C76DC"/>
    <w:rsid w:val="008C7A2B"/>
    <w:rsid w:val="008C7C1F"/>
    <w:rsid w:val="008C7E0C"/>
    <w:rsid w:val="008C7EA1"/>
    <w:rsid w:val="008C7F7F"/>
    <w:rsid w:val="008D0084"/>
    <w:rsid w:val="008D018A"/>
    <w:rsid w:val="008D01AB"/>
    <w:rsid w:val="008D04E4"/>
    <w:rsid w:val="008D051B"/>
    <w:rsid w:val="008D1099"/>
    <w:rsid w:val="008D10EE"/>
    <w:rsid w:val="008D1194"/>
    <w:rsid w:val="008D15FB"/>
    <w:rsid w:val="008D16F7"/>
    <w:rsid w:val="008D1D9E"/>
    <w:rsid w:val="008D267A"/>
    <w:rsid w:val="008D26E7"/>
    <w:rsid w:val="008D2806"/>
    <w:rsid w:val="008D2BEF"/>
    <w:rsid w:val="008D2C0F"/>
    <w:rsid w:val="008D2CF2"/>
    <w:rsid w:val="008D2D1E"/>
    <w:rsid w:val="008D2E04"/>
    <w:rsid w:val="008D2F9F"/>
    <w:rsid w:val="008D2FC8"/>
    <w:rsid w:val="008D30CA"/>
    <w:rsid w:val="008D313E"/>
    <w:rsid w:val="008D32E7"/>
    <w:rsid w:val="008D370F"/>
    <w:rsid w:val="008D372F"/>
    <w:rsid w:val="008D3797"/>
    <w:rsid w:val="008D39BB"/>
    <w:rsid w:val="008D3DA4"/>
    <w:rsid w:val="008D3EFC"/>
    <w:rsid w:val="008D40DD"/>
    <w:rsid w:val="008D4108"/>
    <w:rsid w:val="008D4290"/>
    <w:rsid w:val="008D471D"/>
    <w:rsid w:val="008D4742"/>
    <w:rsid w:val="008D4748"/>
    <w:rsid w:val="008D4CD3"/>
    <w:rsid w:val="008D4E62"/>
    <w:rsid w:val="008D4EE1"/>
    <w:rsid w:val="008D4F22"/>
    <w:rsid w:val="008D51DF"/>
    <w:rsid w:val="008D5236"/>
    <w:rsid w:val="008D52A8"/>
    <w:rsid w:val="008D52AE"/>
    <w:rsid w:val="008D5348"/>
    <w:rsid w:val="008D568C"/>
    <w:rsid w:val="008D5A73"/>
    <w:rsid w:val="008D5F3D"/>
    <w:rsid w:val="008D5F88"/>
    <w:rsid w:val="008D5F92"/>
    <w:rsid w:val="008D60BE"/>
    <w:rsid w:val="008D6163"/>
    <w:rsid w:val="008D61F0"/>
    <w:rsid w:val="008D62C6"/>
    <w:rsid w:val="008D64E8"/>
    <w:rsid w:val="008D65AD"/>
    <w:rsid w:val="008D6650"/>
    <w:rsid w:val="008D6788"/>
    <w:rsid w:val="008D67FD"/>
    <w:rsid w:val="008D68D6"/>
    <w:rsid w:val="008D69E2"/>
    <w:rsid w:val="008D6C43"/>
    <w:rsid w:val="008D7605"/>
    <w:rsid w:val="008D77DB"/>
    <w:rsid w:val="008D7834"/>
    <w:rsid w:val="008D7A19"/>
    <w:rsid w:val="008D7A25"/>
    <w:rsid w:val="008D7E77"/>
    <w:rsid w:val="008D7E88"/>
    <w:rsid w:val="008E0018"/>
    <w:rsid w:val="008E040E"/>
    <w:rsid w:val="008E0420"/>
    <w:rsid w:val="008E0643"/>
    <w:rsid w:val="008E079B"/>
    <w:rsid w:val="008E07B3"/>
    <w:rsid w:val="008E0847"/>
    <w:rsid w:val="008E0988"/>
    <w:rsid w:val="008E0BB0"/>
    <w:rsid w:val="008E0C01"/>
    <w:rsid w:val="008E0F0E"/>
    <w:rsid w:val="008E0F47"/>
    <w:rsid w:val="008E1223"/>
    <w:rsid w:val="008E146F"/>
    <w:rsid w:val="008E178C"/>
    <w:rsid w:val="008E17B9"/>
    <w:rsid w:val="008E1CCA"/>
    <w:rsid w:val="008E1E4D"/>
    <w:rsid w:val="008E1E79"/>
    <w:rsid w:val="008E2051"/>
    <w:rsid w:val="008E20EA"/>
    <w:rsid w:val="008E213B"/>
    <w:rsid w:val="008E260A"/>
    <w:rsid w:val="008E2628"/>
    <w:rsid w:val="008E27B7"/>
    <w:rsid w:val="008E2849"/>
    <w:rsid w:val="008E293C"/>
    <w:rsid w:val="008E29DB"/>
    <w:rsid w:val="008E2E3A"/>
    <w:rsid w:val="008E2E9B"/>
    <w:rsid w:val="008E2F30"/>
    <w:rsid w:val="008E2FF4"/>
    <w:rsid w:val="008E316D"/>
    <w:rsid w:val="008E329F"/>
    <w:rsid w:val="008E3378"/>
    <w:rsid w:val="008E34B4"/>
    <w:rsid w:val="008E3667"/>
    <w:rsid w:val="008E3683"/>
    <w:rsid w:val="008E369E"/>
    <w:rsid w:val="008E36EA"/>
    <w:rsid w:val="008E381D"/>
    <w:rsid w:val="008E398E"/>
    <w:rsid w:val="008E3A83"/>
    <w:rsid w:val="008E3B96"/>
    <w:rsid w:val="008E3CFA"/>
    <w:rsid w:val="008E3EDA"/>
    <w:rsid w:val="008E43F3"/>
    <w:rsid w:val="008E45AC"/>
    <w:rsid w:val="008E4603"/>
    <w:rsid w:val="008E47A8"/>
    <w:rsid w:val="008E48DE"/>
    <w:rsid w:val="008E4921"/>
    <w:rsid w:val="008E4A41"/>
    <w:rsid w:val="008E4AFA"/>
    <w:rsid w:val="008E4E9D"/>
    <w:rsid w:val="008E4F9F"/>
    <w:rsid w:val="008E4FFC"/>
    <w:rsid w:val="008E5033"/>
    <w:rsid w:val="008E50EC"/>
    <w:rsid w:val="008E5128"/>
    <w:rsid w:val="008E51FC"/>
    <w:rsid w:val="008E5506"/>
    <w:rsid w:val="008E5585"/>
    <w:rsid w:val="008E55DD"/>
    <w:rsid w:val="008E5898"/>
    <w:rsid w:val="008E5A62"/>
    <w:rsid w:val="008E5AE8"/>
    <w:rsid w:val="008E5B43"/>
    <w:rsid w:val="008E5E37"/>
    <w:rsid w:val="008E5FC1"/>
    <w:rsid w:val="008E6238"/>
    <w:rsid w:val="008E6267"/>
    <w:rsid w:val="008E664B"/>
    <w:rsid w:val="008E668D"/>
    <w:rsid w:val="008E6734"/>
    <w:rsid w:val="008E67CC"/>
    <w:rsid w:val="008E6AFD"/>
    <w:rsid w:val="008E6CD2"/>
    <w:rsid w:val="008E6D1D"/>
    <w:rsid w:val="008E7203"/>
    <w:rsid w:val="008E7205"/>
    <w:rsid w:val="008E74E8"/>
    <w:rsid w:val="008E7624"/>
    <w:rsid w:val="008E768D"/>
    <w:rsid w:val="008E76B5"/>
    <w:rsid w:val="008E779F"/>
    <w:rsid w:val="008E7AC0"/>
    <w:rsid w:val="008E7BF7"/>
    <w:rsid w:val="008E7D89"/>
    <w:rsid w:val="008E7E05"/>
    <w:rsid w:val="008E7EDA"/>
    <w:rsid w:val="008F011B"/>
    <w:rsid w:val="008F03C8"/>
    <w:rsid w:val="008F05B5"/>
    <w:rsid w:val="008F0AE9"/>
    <w:rsid w:val="008F0C8C"/>
    <w:rsid w:val="008F0D31"/>
    <w:rsid w:val="008F0E34"/>
    <w:rsid w:val="008F16AB"/>
    <w:rsid w:val="008F1827"/>
    <w:rsid w:val="008F1A73"/>
    <w:rsid w:val="008F1AE4"/>
    <w:rsid w:val="008F1AF4"/>
    <w:rsid w:val="008F1C5E"/>
    <w:rsid w:val="008F1C84"/>
    <w:rsid w:val="008F1D47"/>
    <w:rsid w:val="008F1E6B"/>
    <w:rsid w:val="008F20EA"/>
    <w:rsid w:val="008F20F5"/>
    <w:rsid w:val="008F2108"/>
    <w:rsid w:val="008F21C3"/>
    <w:rsid w:val="008F2200"/>
    <w:rsid w:val="008F2281"/>
    <w:rsid w:val="008F2395"/>
    <w:rsid w:val="008F24E6"/>
    <w:rsid w:val="008F25C1"/>
    <w:rsid w:val="008F27DC"/>
    <w:rsid w:val="008F2869"/>
    <w:rsid w:val="008F2C08"/>
    <w:rsid w:val="008F3042"/>
    <w:rsid w:val="008F3228"/>
    <w:rsid w:val="008F3451"/>
    <w:rsid w:val="008F352E"/>
    <w:rsid w:val="008F358C"/>
    <w:rsid w:val="008F35B5"/>
    <w:rsid w:val="008F366B"/>
    <w:rsid w:val="008F37D9"/>
    <w:rsid w:val="008F3A80"/>
    <w:rsid w:val="008F3C68"/>
    <w:rsid w:val="008F3CCE"/>
    <w:rsid w:val="008F3D0F"/>
    <w:rsid w:val="008F3E1D"/>
    <w:rsid w:val="008F3FF4"/>
    <w:rsid w:val="008F4099"/>
    <w:rsid w:val="008F422C"/>
    <w:rsid w:val="008F425F"/>
    <w:rsid w:val="008F4375"/>
    <w:rsid w:val="008F4466"/>
    <w:rsid w:val="008F44F8"/>
    <w:rsid w:val="008F4EEF"/>
    <w:rsid w:val="008F521C"/>
    <w:rsid w:val="008F5241"/>
    <w:rsid w:val="008F5399"/>
    <w:rsid w:val="008F5A6E"/>
    <w:rsid w:val="008F5AB7"/>
    <w:rsid w:val="008F5AC7"/>
    <w:rsid w:val="008F5D5F"/>
    <w:rsid w:val="008F5F7C"/>
    <w:rsid w:val="008F644D"/>
    <w:rsid w:val="008F645A"/>
    <w:rsid w:val="008F64EC"/>
    <w:rsid w:val="008F6650"/>
    <w:rsid w:val="008F66CF"/>
    <w:rsid w:val="008F6884"/>
    <w:rsid w:val="008F6AA3"/>
    <w:rsid w:val="008F6AD3"/>
    <w:rsid w:val="008F6D5D"/>
    <w:rsid w:val="008F6F28"/>
    <w:rsid w:val="008F6F6D"/>
    <w:rsid w:val="008F7154"/>
    <w:rsid w:val="008F71E2"/>
    <w:rsid w:val="008F740A"/>
    <w:rsid w:val="008F74E6"/>
    <w:rsid w:val="008F7548"/>
    <w:rsid w:val="008F75A3"/>
    <w:rsid w:val="008F76A3"/>
    <w:rsid w:val="008F7CC9"/>
    <w:rsid w:val="008F7D99"/>
    <w:rsid w:val="008F7EF2"/>
    <w:rsid w:val="00900353"/>
    <w:rsid w:val="00900386"/>
    <w:rsid w:val="009003E3"/>
    <w:rsid w:val="009004C1"/>
    <w:rsid w:val="009004C9"/>
    <w:rsid w:val="00900736"/>
    <w:rsid w:val="009007AE"/>
    <w:rsid w:val="00900832"/>
    <w:rsid w:val="00900AEB"/>
    <w:rsid w:val="00900BB2"/>
    <w:rsid w:val="00900F3A"/>
    <w:rsid w:val="0090102B"/>
    <w:rsid w:val="00901421"/>
    <w:rsid w:val="009016D6"/>
    <w:rsid w:val="00901964"/>
    <w:rsid w:val="00901B30"/>
    <w:rsid w:val="00901E5E"/>
    <w:rsid w:val="00901F96"/>
    <w:rsid w:val="009021C6"/>
    <w:rsid w:val="0090233C"/>
    <w:rsid w:val="00902466"/>
    <w:rsid w:val="00902538"/>
    <w:rsid w:val="009026E0"/>
    <w:rsid w:val="00902878"/>
    <w:rsid w:val="009028E9"/>
    <w:rsid w:val="00902906"/>
    <w:rsid w:val="00902A10"/>
    <w:rsid w:val="00902C14"/>
    <w:rsid w:val="00902CFF"/>
    <w:rsid w:val="00902DAF"/>
    <w:rsid w:val="009030CB"/>
    <w:rsid w:val="0090327A"/>
    <w:rsid w:val="00903587"/>
    <w:rsid w:val="009035A3"/>
    <w:rsid w:val="009035C8"/>
    <w:rsid w:val="00903834"/>
    <w:rsid w:val="0090397B"/>
    <w:rsid w:val="00903A23"/>
    <w:rsid w:val="00903A31"/>
    <w:rsid w:val="00903AC3"/>
    <w:rsid w:val="00903BEC"/>
    <w:rsid w:val="00903C10"/>
    <w:rsid w:val="00903CE7"/>
    <w:rsid w:val="00903DFF"/>
    <w:rsid w:val="00903E39"/>
    <w:rsid w:val="00904634"/>
    <w:rsid w:val="00904784"/>
    <w:rsid w:val="0090494A"/>
    <w:rsid w:val="009049EE"/>
    <w:rsid w:val="00904B73"/>
    <w:rsid w:val="00904BE7"/>
    <w:rsid w:val="00904D5C"/>
    <w:rsid w:val="00905320"/>
    <w:rsid w:val="009059DC"/>
    <w:rsid w:val="00905A71"/>
    <w:rsid w:val="00905C0A"/>
    <w:rsid w:val="00905DC7"/>
    <w:rsid w:val="00905F57"/>
    <w:rsid w:val="00906014"/>
    <w:rsid w:val="00906238"/>
    <w:rsid w:val="009067A6"/>
    <w:rsid w:val="009068FC"/>
    <w:rsid w:val="00906B67"/>
    <w:rsid w:val="00906F0F"/>
    <w:rsid w:val="00906FE1"/>
    <w:rsid w:val="009070CF"/>
    <w:rsid w:val="009071D7"/>
    <w:rsid w:val="0090730F"/>
    <w:rsid w:val="009075F4"/>
    <w:rsid w:val="00907688"/>
    <w:rsid w:val="0090770E"/>
    <w:rsid w:val="0090771B"/>
    <w:rsid w:val="00907790"/>
    <w:rsid w:val="00907834"/>
    <w:rsid w:val="009079C9"/>
    <w:rsid w:val="00907AAD"/>
    <w:rsid w:val="00907B19"/>
    <w:rsid w:val="00907DA2"/>
    <w:rsid w:val="00907EC9"/>
    <w:rsid w:val="00907F20"/>
    <w:rsid w:val="00907F57"/>
    <w:rsid w:val="00910313"/>
    <w:rsid w:val="00910BF9"/>
    <w:rsid w:val="00910ECB"/>
    <w:rsid w:val="00910F27"/>
    <w:rsid w:val="00911235"/>
    <w:rsid w:val="0091181D"/>
    <w:rsid w:val="00911AB2"/>
    <w:rsid w:val="00911B11"/>
    <w:rsid w:val="00911CCE"/>
    <w:rsid w:val="00911D51"/>
    <w:rsid w:val="009120CF"/>
    <w:rsid w:val="00912129"/>
    <w:rsid w:val="00912139"/>
    <w:rsid w:val="00912200"/>
    <w:rsid w:val="00912246"/>
    <w:rsid w:val="00912653"/>
    <w:rsid w:val="00912941"/>
    <w:rsid w:val="00912BAF"/>
    <w:rsid w:val="00912C27"/>
    <w:rsid w:val="00912DDD"/>
    <w:rsid w:val="0091319E"/>
    <w:rsid w:val="009132AD"/>
    <w:rsid w:val="00913466"/>
    <w:rsid w:val="00913643"/>
    <w:rsid w:val="00913732"/>
    <w:rsid w:val="00913C00"/>
    <w:rsid w:val="00913CC5"/>
    <w:rsid w:val="00913E55"/>
    <w:rsid w:val="00913F31"/>
    <w:rsid w:val="00913F91"/>
    <w:rsid w:val="0091423A"/>
    <w:rsid w:val="0091442A"/>
    <w:rsid w:val="009144B0"/>
    <w:rsid w:val="009146C7"/>
    <w:rsid w:val="00914AC6"/>
    <w:rsid w:val="00914BC2"/>
    <w:rsid w:val="00914EE6"/>
    <w:rsid w:val="00915021"/>
    <w:rsid w:val="009150E3"/>
    <w:rsid w:val="00915135"/>
    <w:rsid w:val="009152BD"/>
    <w:rsid w:val="009152BF"/>
    <w:rsid w:val="00915760"/>
    <w:rsid w:val="00915BE2"/>
    <w:rsid w:val="00915F06"/>
    <w:rsid w:val="00915F32"/>
    <w:rsid w:val="00915F81"/>
    <w:rsid w:val="00916212"/>
    <w:rsid w:val="00916398"/>
    <w:rsid w:val="009163A0"/>
    <w:rsid w:val="0091643A"/>
    <w:rsid w:val="00916660"/>
    <w:rsid w:val="00916726"/>
    <w:rsid w:val="00916909"/>
    <w:rsid w:val="00916963"/>
    <w:rsid w:val="00916988"/>
    <w:rsid w:val="00916C75"/>
    <w:rsid w:val="00916D8D"/>
    <w:rsid w:val="00917052"/>
    <w:rsid w:val="009171DD"/>
    <w:rsid w:val="0091730A"/>
    <w:rsid w:val="00917370"/>
    <w:rsid w:val="0091771C"/>
    <w:rsid w:val="00917A9F"/>
    <w:rsid w:val="00917CCE"/>
    <w:rsid w:val="00917D76"/>
    <w:rsid w:val="00917E79"/>
    <w:rsid w:val="00920043"/>
    <w:rsid w:val="00920127"/>
    <w:rsid w:val="0092029F"/>
    <w:rsid w:val="009202D0"/>
    <w:rsid w:val="009209F1"/>
    <w:rsid w:val="00920BC1"/>
    <w:rsid w:val="00920E31"/>
    <w:rsid w:val="00920F20"/>
    <w:rsid w:val="00921292"/>
    <w:rsid w:val="009214D5"/>
    <w:rsid w:val="0092166B"/>
    <w:rsid w:val="00921697"/>
    <w:rsid w:val="009216BC"/>
    <w:rsid w:val="009217AF"/>
    <w:rsid w:val="009219FA"/>
    <w:rsid w:val="00921DF7"/>
    <w:rsid w:val="00921E1B"/>
    <w:rsid w:val="00921FF4"/>
    <w:rsid w:val="00922216"/>
    <w:rsid w:val="009223FC"/>
    <w:rsid w:val="00922424"/>
    <w:rsid w:val="0092286C"/>
    <w:rsid w:val="00922A98"/>
    <w:rsid w:val="00922B5C"/>
    <w:rsid w:val="00922C15"/>
    <w:rsid w:val="00922DD3"/>
    <w:rsid w:val="00922F4E"/>
    <w:rsid w:val="00923146"/>
    <w:rsid w:val="00923342"/>
    <w:rsid w:val="0092344C"/>
    <w:rsid w:val="00923493"/>
    <w:rsid w:val="009234E1"/>
    <w:rsid w:val="00923606"/>
    <w:rsid w:val="0092368F"/>
    <w:rsid w:val="009238AA"/>
    <w:rsid w:val="00923BC4"/>
    <w:rsid w:val="00924138"/>
    <w:rsid w:val="00924229"/>
    <w:rsid w:val="0092432F"/>
    <w:rsid w:val="00924412"/>
    <w:rsid w:val="009244DC"/>
    <w:rsid w:val="009247F1"/>
    <w:rsid w:val="00924902"/>
    <w:rsid w:val="00924A2E"/>
    <w:rsid w:val="00924BC7"/>
    <w:rsid w:val="00924D06"/>
    <w:rsid w:val="0092525C"/>
    <w:rsid w:val="009252B6"/>
    <w:rsid w:val="0092547D"/>
    <w:rsid w:val="009254C1"/>
    <w:rsid w:val="0092593F"/>
    <w:rsid w:val="00925AB7"/>
    <w:rsid w:val="00925DD5"/>
    <w:rsid w:val="00925EB4"/>
    <w:rsid w:val="00925F2A"/>
    <w:rsid w:val="00925FC0"/>
    <w:rsid w:val="00926036"/>
    <w:rsid w:val="00926237"/>
    <w:rsid w:val="0092631F"/>
    <w:rsid w:val="009267AE"/>
    <w:rsid w:val="009267DE"/>
    <w:rsid w:val="009268C6"/>
    <w:rsid w:val="009268C9"/>
    <w:rsid w:val="00926B29"/>
    <w:rsid w:val="0092718A"/>
    <w:rsid w:val="009271A0"/>
    <w:rsid w:val="009274F7"/>
    <w:rsid w:val="00927575"/>
    <w:rsid w:val="00927726"/>
    <w:rsid w:val="0092774B"/>
    <w:rsid w:val="009279EC"/>
    <w:rsid w:val="00927A2C"/>
    <w:rsid w:val="00927D9C"/>
    <w:rsid w:val="00927FCA"/>
    <w:rsid w:val="009300BC"/>
    <w:rsid w:val="00930369"/>
    <w:rsid w:val="00930531"/>
    <w:rsid w:val="00930779"/>
    <w:rsid w:val="00930799"/>
    <w:rsid w:val="00930B2C"/>
    <w:rsid w:val="00930B40"/>
    <w:rsid w:val="00930B7D"/>
    <w:rsid w:val="00930C5C"/>
    <w:rsid w:val="00930D21"/>
    <w:rsid w:val="00930F0E"/>
    <w:rsid w:val="00931073"/>
    <w:rsid w:val="0093115D"/>
    <w:rsid w:val="00931232"/>
    <w:rsid w:val="00931291"/>
    <w:rsid w:val="00931327"/>
    <w:rsid w:val="009314F5"/>
    <w:rsid w:val="00931623"/>
    <w:rsid w:val="0093174B"/>
    <w:rsid w:val="00931C56"/>
    <w:rsid w:val="00931C72"/>
    <w:rsid w:val="00931FC3"/>
    <w:rsid w:val="0093227A"/>
    <w:rsid w:val="009324CF"/>
    <w:rsid w:val="00932818"/>
    <w:rsid w:val="009329D4"/>
    <w:rsid w:val="00932AB3"/>
    <w:rsid w:val="00932BAD"/>
    <w:rsid w:val="00932C8C"/>
    <w:rsid w:val="00932EB9"/>
    <w:rsid w:val="00932FFC"/>
    <w:rsid w:val="009331FA"/>
    <w:rsid w:val="009335D0"/>
    <w:rsid w:val="0093385F"/>
    <w:rsid w:val="00933C5F"/>
    <w:rsid w:val="00933EA1"/>
    <w:rsid w:val="009343CC"/>
    <w:rsid w:val="009344B3"/>
    <w:rsid w:val="00934518"/>
    <w:rsid w:val="0093452D"/>
    <w:rsid w:val="00934629"/>
    <w:rsid w:val="00934956"/>
    <w:rsid w:val="00934DF3"/>
    <w:rsid w:val="00935051"/>
    <w:rsid w:val="0093507A"/>
    <w:rsid w:val="009350FE"/>
    <w:rsid w:val="0093534B"/>
    <w:rsid w:val="0093544E"/>
    <w:rsid w:val="009357C9"/>
    <w:rsid w:val="00935C9C"/>
    <w:rsid w:val="00935C9D"/>
    <w:rsid w:val="00935ECF"/>
    <w:rsid w:val="0093604A"/>
    <w:rsid w:val="00936140"/>
    <w:rsid w:val="0093638C"/>
    <w:rsid w:val="0093681C"/>
    <w:rsid w:val="00936963"/>
    <w:rsid w:val="009369D9"/>
    <w:rsid w:val="00936B12"/>
    <w:rsid w:val="00936BAD"/>
    <w:rsid w:val="00936C2B"/>
    <w:rsid w:val="00936F0D"/>
    <w:rsid w:val="00936F17"/>
    <w:rsid w:val="00936F79"/>
    <w:rsid w:val="0093716E"/>
    <w:rsid w:val="009375E2"/>
    <w:rsid w:val="0093763C"/>
    <w:rsid w:val="009377A1"/>
    <w:rsid w:val="009377D0"/>
    <w:rsid w:val="00937A76"/>
    <w:rsid w:val="00937B6A"/>
    <w:rsid w:val="00937B93"/>
    <w:rsid w:val="00937CE6"/>
    <w:rsid w:val="00937CF8"/>
    <w:rsid w:val="00937E4C"/>
    <w:rsid w:val="0094007B"/>
    <w:rsid w:val="009402C3"/>
    <w:rsid w:val="009403F2"/>
    <w:rsid w:val="00940AD5"/>
    <w:rsid w:val="00940C9B"/>
    <w:rsid w:val="00940DC5"/>
    <w:rsid w:val="00940E9D"/>
    <w:rsid w:val="009410D9"/>
    <w:rsid w:val="00941125"/>
    <w:rsid w:val="009411A3"/>
    <w:rsid w:val="0094123C"/>
    <w:rsid w:val="00941242"/>
    <w:rsid w:val="0094132C"/>
    <w:rsid w:val="00941436"/>
    <w:rsid w:val="00941683"/>
    <w:rsid w:val="009417A9"/>
    <w:rsid w:val="0094198C"/>
    <w:rsid w:val="009419D4"/>
    <w:rsid w:val="00941A62"/>
    <w:rsid w:val="00941C01"/>
    <w:rsid w:val="00941CB0"/>
    <w:rsid w:val="00941D36"/>
    <w:rsid w:val="00941F78"/>
    <w:rsid w:val="0094200B"/>
    <w:rsid w:val="009422D6"/>
    <w:rsid w:val="00942521"/>
    <w:rsid w:val="00942682"/>
    <w:rsid w:val="009426F2"/>
    <w:rsid w:val="009427CB"/>
    <w:rsid w:val="00942A91"/>
    <w:rsid w:val="00942EB9"/>
    <w:rsid w:val="00942F10"/>
    <w:rsid w:val="0094349F"/>
    <w:rsid w:val="00943660"/>
    <w:rsid w:val="00943BB2"/>
    <w:rsid w:val="00943BFB"/>
    <w:rsid w:val="00943C8C"/>
    <w:rsid w:val="00943D7B"/>
    <w:rsid w:val="009440C9"/>
    <w:rsid w:val="009441E0"/>
    <w:rsid w:val="009443D8"/>
    <w:rsid w:val="009443EB"/>
    <w:rsid w:val="009445C8"/>
    <w:rsid w:val="00944638"/>
    <w:rsid w:val="009446EF"/>
    <w:rsid w:val="0094498E"/>
    <w:rsid w:val="00944B65"/>
    <w:rsid w:val="0094514C"/>
    <w:rsid w:val="00945372"/>
    <w:rsid w:val="009453EF"/>
    <w:rsid w:val="009456A9"/>
    <w:rsid w:val="00945776"/>
    <w:rsid w:val="0094585D"/>
    <w:rsid w:val="00945A06"/>
    <w:rsid w:val="00945A09"/>
    <w:rsid w:val="00945A22"/>
    <w:rsid w:val="00945A46"/>
    <w:rsid w:val="00945A8C"/>
    <w:rsid w:val="00945AF7"/>
    <w:rsid w:val="00945B75"/>
    <w:rsid w:val="00945C83"/>
    <w:rsid w:val="00945FF6"/>
    <w:rsid w:val="009460C3"/>
    <w:rsid w:val="0094611B"/>
    <w:rsid w:val="00946134"/>
    <w:rsid w:val="009461E6"/>
    <w:rsid w:val="009467D7"/>
    <w:rsid w:val="00946BC8"/>
    <w:rsid w:val="00946C04"/>
    <w:rsid w:val="00946E3A"/>
    <w:rsid w:val="00946FC0"/>
    <w:rsid w:val="0094737F"/>
    <w:rsid w:val="009476B8"/>
    <w:rsid w:val="0094773E"/>
    <w:rsid w:val="0094774A"/>
    <w:rsid w:val="009477B0"/>
    <w:rsid w:val="00947C39"/>
    <w:rsid w:val="00947C67"/>
    <w:rsid w:val="00947C76"/>
    <w:rsid w:val="00947FEE"/>
    <w:rsid w:val="00950284"/>
    <w:rsid w:val="0095051D"/>
    <w:rsid w:val="0095062E"/>
    <w:rsid w:val="00950B8C"/>
    <w:rsid w:val="00950D0A"/>
    <w:rsid w:val="00950D33"/>
    <w:rsid w:val="00951134"/>
    <w:rsid w:val="00951393"/>
    <w:rsid w:val="00951491"/>
    <w:rsid w:val="00951684"/>
    <w:rsid w:val="00951A43"/>
    <w:rsid w:val="00951CB2"/>
    <w:rsid w:val="00952065"/>
    <w:rsid w:val="0095218B"/>
    <w:rsid w:val="0095239E"/>
    <w:rsid w:val="009523E7"/>
    <w:rsid w:val="009527CE"/>
    <w:rsid w:val="00952A59"/>
    <w:rsid w:val="00952B31"/>
    <w:rsid w:val="00952C4A"/>
    <w:rsid w:val="00952C4D"/>
    <w:rsid w:val="009530E6"/>
    <w:rsid w:val="009535C4"/>
    <w:rsid w:val="009535F1"/>
    <w:rsid w:val="00953602"/>
    <w:rsid w:val="009538E8"/>
    <w:rsid w:val="00953901"/>
    <w:rsid w:val="00953C89"/>
    <w:rsid w:val="00953CDA"/>
    <w:rsid w:val="00953EBC"/>
    <w:rsid w:val="0095400B"/>
    <w:rsid w:val="009547C2"/>
    <w:rsid w:val="00954C12"/>
    <w:rsid w:val="00954C9B"/>
    <w:rsid w:val="00955079"/>
    <w:rsid w:val="009552C6"/>
    <w:rsid w:val="00955499"/>
    <w:rsid w:val="009554CC"/>
    <w:rsid w:val="0095575E"/>
    <w:rsid w:val="009557DB"/>
    <w:rsid w:val="00955A1E"/>
    <w:rsid w:val="00955C4B"/>
    <w:rsid w:val="00955E88"/>
    <w:rsid w:val="00955F50"/>
    <w:rsid w:val="00955FDD"/>
    <w:rsid w:val="00956315"/>
    <w:rsid w:val="00956325"/>
    <w:rsid w:val="00956327"/>
    <w:rsid w:val="009564E7"/>
    <w:rsid w:val="009566BB"/>
    <w:rsid w:val="009567AD"/>
    <w:rsid w:val="009567F3"/>
    <w:rsid w:val="00956807"/>
    <w:rsid w:val="00956B4C"/>
    <w:rsid w:val="00956D72"/>
    <w:rsid w:val="00957005"/>
    <w:rsid w:val="009572EA"/>
    <w:rsid w:val="009573A4"/>
    <w:rsid w:val="0095761D"/>
    <w:rsid w:val="00957657"/>
    <w:rsid w:val="00957762"/>
    <w:rsid w:val="00957BBC"/>
    <w:rsid w:val="00957C5F"/>
    <w:rsid w:val="00957DE9"/>
    <w:rsid w:val="00960340"/>
    <w:rsid w:val="00960472"/>
    <w:rsid w:val="009604C6"/>
    <w:rsid w:val="009605C0"/>
    <w:rsid w:val="0096072F"/>
    <w:rsid w:val="00960746"/>
    <w:rsid w:val="0096098D"/>
    <w:rsid w:val="00960AF6"/>
    <w:rsid w:val="00960D7D"/>
    <w:rsid w:val="00960F30"/>
    <w:rsid w:val="00960F5F"/>
    <w:rsid w:val="0096101D"/>
    <w:rsid w:val="009613D3"/>
    <w:rsid w:val="0096153F"/>
    <w:rsid w:val="009615F0"/>
    <w:rsid w:val="009617B4"/>
    <w:rsid w:val="0096196A"/>
    <w:rsid w:val="0096197B"/>
    <w:rsid w:val="00961A67"/>
    <w:rsid w:val="00961B34"/>
    <w:rsid w:val="00961C38"/>
    <w:rsid w:val="00961DC4"/>
    <w:rsid w:val="00961EF2"/>
    <w:rsid w:val="009625B6"/>
    <w:rsid w:val="009626E0"/>
    <w:rsid w:val="00962922"/>
    <w:rsid w:val="00962CEC"/>
    <w:rsid w:val="00962DBE"/>
    <w:rsid w:val="0096320B"/>
    <w:rsid w:val="00963267"/>
    <w:rsid w:val="009632C8"/>
    <w:rsid w:val="009639BE"/>
    <w:rsid w:val="00963A66"/>
    <w:rsid w:val="00963AAB"/>
    <w:rsid w:val="00963C2F"/>
    <w:rsid w:val="00963CA1"/>
    <w:rsid w:val="00964129"/>
    <w:rsid w:val="00964299"/>
    <w:rsid w:val="009643FD"/>
    <w:rsid w:val="00964488"/>
    <w:rsid w:val="00964B3F"/>
    <w:rsid w:val="00964CAC"/>
    <w:rsid w:val="009650BA"/>
    <w:rsid w:val="009650D3"/>
    <w:rsid w:val="00965342"/>
    <w:rsid w:val="009653AB"/>
    <w:rsid w:val="00965639"/>
    <w:rsid w:val="00965A90"/>
    <w:rsid w:val="00965BEF"/>
    <w:rsid w:val="00965D85"/>
    <w:rsid w:val="00965F64"/>
    <w:rsid w:val="009663B2"/>
    <w:rsid w:val="0096686A"/>
    <w:rsid w:val="00966939"/>
    <w:rsid w:val="00966B31"/>
    <w:rsid w:val="00966D01"/>
    <w:rsid w:val="00966FFD"/>
    <w:rsid w:val="009675C3"/>
    <w:rsid w:val="00967740"/>
    <w:rsid w:val="0096774D"/>
    <w:rsid w:val="00967987"/>
    <w:rsid w:val="00967B40"/>
    <w:rsid w:val="00967C60"/>
    <w:rsid w:val="00967C98"/>
    <w:rsid w:val="00967CF9"/>
    <w:rsid w:val="00970013"/>
    <w:rsid w:val="009700F4"/>
    <w:rsid w:val="009702DF"/>
    <w:rsid w:val="009704BD"/>
    <w:rsid w:val="009704D8"/>
    <w:rsid w:val="0097063B"/>
    <w:rsid w:val="009707FA"/>
    <w:rsid w:val="00970A37"/>
    <w:rsid w:val="00970AAF"/>
    <w:rsid w:val="00970CEA"/>
    <w:rsid w:val="00971199"/>
    <w:rsid w:val="009712C3"/>
    <w:rsid w:val="0097143D"/>
    <w:rsid w:val="009714CA"/>
    <w:rsid w:val="0097169D"/>
    <w:rsid w:val="00971A78"/>
    <w:rsid w:val="00971D0B"/>
    <w:rsid w:val="0097221F"/>
    <w:rsid w:val="00972738"/>
    <w:rsid w:val="00972A1D"/>
    <w:rsid w:val="00972BB2"/>
    <w:rsid w:val="00972DA4"/>
    <w:rsid w:val="00972F02"/>
    <w:rsid w:val="00972FCB"/>
    <w:rsid w:val="009731EE"/>
    <w:rsid w:val="009731FA"/>
    <w:rsid w:val="009733BB"/>
    <w:rsid w:val="00973514"/>
    <w:rsid w:val="00973930"/>
    <w:rsid w:val="00973A5B"/>
    <w:rsid w:val="00973DF1"/>
    <w:rsid w:val="00973E34"/>
    <w:rsid w:val="00974268"/>
    <w:rsid w:val="00974331"/>
    <w:rsid w:val="009744BB"/>
    <w:rsid w:val="00974527"/>
    <w:rsid w:val="00974958"/>
    <w:rsid w:val="00974963"/>
    <w:rsid w:val="00974A41"/>
    <w:rsid w:val="00974A77"/>
    <w:rsid w:val="0097518D"/>
    <w:rsid w:val="009753B9"/>
    <w:rsid w:val="00975582"/>
    <w:rsid w:val="0097559F"/>
    <w:rsid w:val="00975678"/>
    <w:rsid w:val="0097574A"/>
    <w:rsid w:val="00975E95"/>
    <w:rsid w:val="00976003"/>
    <w:rsid w:val="00976166"/>
    <w:rsid w:val="009763D6"/>
    <w:rsid w:val="009763E5"/>
    <w:rsid w:val="009763FC"/>
    <w:rsid w:val="0097648F"/>
    <w:rsid w:val="009765B5"/>
    <w:rsid w:val="00976A49"/>
    <w:rsid w:val="00976B6B"/>
    <w:rsid w:val="00976F39"/>
    <w:rsid w:val="00977082"/>
    <w:rsid w:val="0097723B"/>
    <w:rsid w:val="009773F5"/>
    <w:rsid w:val="00977764"/>
    <w:rsid w:val="00977837"/>
    <w:rsid w:val="00977B83"/>
    <w:rsid w:val="00977CCE"/>
    <w:rsid w:val="00977CFE"/>
    <w:rsid w:val="00977D61"/>
    <w:rsid w:val="00977D97"/>
    <w:rsid w:val="0098004A"/>
    <w:rsid w:val="009800CC"/>
    <w:rsid w:val="0098027A"/>
    <w:rsid w:val="00980324"/>
    <w:rsid w:val="00980359"/>
    <w:rsid w:val="009804B7"/>
    <w:rsid w:val="00980683"/>
    <w:rsid w:val="009806D8"/>
    <w:rsid w:val="009806F0"/>
    <w:rsid w:val="0098085B"/>
    <w:rsid w:val="00980ABD"/>
    <w:rsid w:val="00980AD2"/>
    <w:rsid w:val="00980C1B"/>
    <w:rsid w:val="00980EFB"/>
    <w:rsid w:val="009810A3"/>
    <w:rsid w:val="009810E5"/>
    <w:rsid w:val="009813DA"/>
    <w:rsid w:val="0098140F"/>
    <w:rsid w:val="0098150F"/>
    <w:rsid w:val="00981535"/>
    <w:rsid w:val="009815D8"/>
    <w:rsid w:val="0098182F"/>
    <w:rsid w:val="00981978"/>
    <w:rsid w:val="00981A69"/>
    <w:rsid w:val="00981C60"/>
    <w:rsid w:val="00981EC4"/>
    <w:rsid w:val="009824B4"/>
    <w:rsid w:val="00982562"/>
    <w:rsid w:val="0098284E"/>
    <w:rsid w:val="009829C4"/>
    <w:rsid w:val="00982AC2"/>
    <w:rsid w:val="00982C18"/>
    <w:rsid w:val="00982C4D"/>
    <w:rsid w:val="009830BE"/>
    <w:rsid w:val="0098310B"/>
    <w:rsid w:val="009831DA"/>
    <w:rsid w:val="00983339"/>
    <w:rsid w:val="00983535"/>
    <w:rsid w:val="0098380B"/>
    <w:rsid w:val="00983824"/>
    <w:rsid w:val="0098386A"/>
    <w:rsid w:val="00983AEB"/>
    <w:rsid w:val="00983E36"/>
    <w:rsid w:val="00983F2A"/>
    <w:rsid w:val="009847C8"/>
    <w:rsid w:val="00984831"/>
    <w:rsid w:val="009848E6"/>
    <w:rsid w:val="009849E0"/>
    <w:rsid w:val="00984A6B"/>
    <w:rsid w:val="00984B33"/>
    <w:rsid w:val="00984CC1"/>
    <w:rsid w:val="0098524A"/>
    <w:rsid w:val="0098538C"/>
    <w:rsid w:val="009854ED"/>
    <w:rsid w:val="00985602"/>
    <w:rsid w:val="00985A0A"/>
    <w:rsid w:val="00985DA4"/>
    <w:rsid w:val="009860D4"/>
    <w:rsid w:val="009861A8"/>
    <w:rsid w:val="00986219"/>
    <w:rsid w:val="009862A7"/>
    <w:rsid w:val="00986386"/>
    <w:rsid w:val="009864C3"/>
    <w:rsid w:val="00986759"/>
    <w:rsid w:val="00986A74"/>
    <w:rsid w:val="00986C40"/>
    <w:rsid w:val="009870B3"/>
    <w:rsid w:val="00987255"/>
    <w:rsid w:val="00987314"/>
    <w:rsid w:val="0098751A"/>
    <w:rsid w:val="0098758C"/>
    <w:rsid w:val="009875C7"/>
    <w:rsid w:val="009876CE"/>
    <w:rsid w:val="00987830"/>
    <w:rsid w:val="00987842"/>
    <w:rsid w:val="00987851"/>
    <w:rsid w:val="00987ADD"/>
    <w:rsid w:val="00987BA9"/>
    <w:rsid w:val="0099066C"/>
    <w:rsid w:val="00990797"/>
    <w:rsid w:val="00990910"/>
    <w:rsid w:val="009909C7"/>
    <w:rsid w:val="00990A4F"/>
    <w:rsid w:val="00990C79"/>
    <w:rsid w:val="00990E43"/>
    <w:rsid w:val="00990E4C"/>
    <w:rsid w:val="00991069"/>
    <w:rsid w:val="00991178"/>
    <w:rsid w:val="00991269"/>
    <w:rsid w:val="009912A0"/>
    <w:rsid w:val="00991357"/>
    <w:rsid w:val="0099135C"/>
    <w:rsid w:val="009915BF"/>
    <w:rsid w:val="00991714"/>
    <w:rsid w:val="009917A6"/>
    <w:rsid w:val="009918D0"/>
    <w:rsid w:val="00991A3C"/>
    <w:rsid w:val="00991C46"/>
    <w:rsid w:val="00991CD6"/>
    <w:rsid w:val="00992078"/>
    <w:rsid w:val="009923C5"/>
    <w:rsid w:val="00992497"/>
    <w:rsid w:val="00992636"/>
    <w:rsid w:val="009926E8"/>
    <w:rsid w:val="00992891"/>
    <w:rsid w:val="00992A97"/>
    <w:rsid w:val="00992F4A"/>
    <w:rsid w:val="0099300D"/>
    <w:rsid w:val="00993191"/>
    <w:rsid w:val="00993590"/>
    <w:rsid w:val="00993596"/>
    <w:rsid w:val="00993720"/>
    <w:rsid w:val="00993858"/>
    <w:rsid w:val="00993C83"/>
    <w:rsid w:val="00993D44"/>
    <w:rsid w:val="00993D67"/>
    <w:rsid w:val="00994078"/>
    <w:rsid w:val="009946BA"/>
    <w:rsid w:val="0099482D"/>
    <w:rsid w:val="00994AEE"/>
    <w:rsid w:val="00994FF9"/>
    <w:rsid w:val="00995178"/>
    <w:rsid w:val="009951CD"/>
    <w:rsid w:val="009954F9"/>
    <w:rsid w:val="009954FE"/>
    <w:rsid w:val="009958BE"/>
    <w:rsid w:val="0099594B"/>
    <w:rsid w:val="00995F57"/>
    <w:rsid w:val="009961C9"/>
    <w:rsid w:val="009963DA"/>
    <w:rsid w:val="009963F9"/>
    <w:rsid w:val="00996622"/>
    <w:rsid w:val="0099662F"/>
    <w:rsid w:val="00996B6F"/>
    <w:rsid w:val="00996ED0"/>
    <w:rsid w:val="00997244"/>
    <w:rsid w:val="00997303"/>
    <w:rsid w:val="00997340"/>
    <w:rsid w:val="009976BC"/>
    <w:rsid w:val="0099772A"/>
    <w:rsid w:val="00997956"/>
    <w:rsid w:val="00997B30"/>
    <w:rsid w:val="009A00FC"/>
    <w:rsid w:val="009A011A"/>
    <w:rsid w:val="009A0381"/>
    <w:rsid w:val="009A0641"/>
    <w:rsid w:val="009A065A"/>
    <w:rsid w:val="009A07D6"/>
    <w:rsid w:val="009A0860"/>
    <w:rsid w:val="009A0948"/>
    <w:rsid w:val="009A1018"/>
    <w:rsid w:val="009A1050"/>
    <w:rsid w:val="009A11AD"/>
    <w:rsid w:val="009A11BF"/>
    <w:rsid w:val="009A13A9"/>
    <w:rsid w:val="009A1416"/>
    <w:rsid w:val="009A1468"/>
    <w:rsid w:val="009A1645"/>
    <w:rsid w:val="009A1782"/>
    <w:rsid w:val="009A1818"/>
    <w:rsid w:val="009A18AC"/>
    <w:rsid w:val="009A1DB5"/>
    <w:rsid w:val="009A1F16"/>
    <w:rsid w:val="009A2031"/>
    <w:rsid w:val="009A20F7"/>
    <w:rsid w:val="009A21AB"/>
    <w:rsid w:val="009A224F"/>
    <w:rsid w:val="009A227C"/>
    <w:rsid w:val="009A2577"/>
    <w:rsid w:val="009A2693"/>
    <w:rsid w:val="009A26C8"/>
    <w:rsid w:val="009A287F"/>
    <w:rsid w:val="009A29AA"/>
    <w:rsid w:val="009A2B2A"/>
    <w:rsid w:val="009A2BFD"/>
    <w:rsid w:val="009A3186"/>
    <w:rsid w:val="009A3662"/>
    <w:rsid w:val="009A3906"/>
    <w:rsid w:val="009A3B7F"/>
    <w:rsid w:val="009A3CE1"/>
    <w:rsid w:val="009A3DEE"/>
    <w:rsid w:val="009A3F0E"/>
    <w:rsid w:val="009A3FD4"/>
    <w:rsid w:val="009A427B"/>
    <w:rsid w:val="009A42ED"/>
    <w:rsid w:val="009A498F"/>
    <w:rsid w:val="009A4C5A"/>
    <w:rsid w:val="009A4FB6"/>
    <w:rsid w:val="009A5529"/>
    <w:rsid w:val="009A556E"/>
    <w:rsid w:val="009A577A"/>
    <w:rsid w:val="009A5891"/>
    <w:rsid w:val="009A5AA5"/>
    <w:rsid w:val="009A5D4F"/>
    <w:rsid w:val="009A5E0A"/>
    <w:rsid w:val="009A5E7D"/>
    <w:rsid w:val="009A6316"/>
    <w:rsid w:val="009A6520"/>
    <w:rsid w:val="009A698B"/>
    <w:rsid w:val="009A6B39"/>
    <w:rsid w:val="009A6CA9"/>
    <w:rsid w:val="009A7074"/>
    <w:rsid w:val="009A70B5"/>
    <w:rsid w:val="009A714C"/>
    <w:rsid w:val="009A719E"/>
    <w:rsid w:val="009A731A"/>
    <w:rsid w:val="009A7A04"/>
    <w:rsid w:val="009A7AB3"/>
    <w:rsid w:val="009A7B7A"/>
    <w:rsid w:val="009A7D25"/>
    <w:rsid w:val="009A7DE0"/>
    <w:rsid w:val="009B0155"/>
    <w:rsid w:val="009B03DF"/>
    <w:rsid w:val="009B0491"/>
    <w:rsid w:val="009B062F"/>
    <w:rsid w:val="009B06B5"/>
    <w:rsid w:val="009B0781"/>
    <w:rsid w:val="009B0B97"/>
    <w:rsid w:val="009B0BB7"/>
    <w:rsid w:val="009B0D76"/>
    <w:rsid w:val="009B0DD7"/>
    <w:rsid w:val="009B0F21"/>
    <w:rsid w:val="009B0F85"/>
    <w:rsid w:val="009B1149"/>
    <w:rsid w:val="009B12E0"/>
    <w:rsid w:val="009B1321"/>
    <w:rsid w:val="009B19FB"/>
    <w:rsid w:val="009B1B80"/>
    <w:rsid w:val="009B2822"/>
    <w:rsid w:val="009B28B7"/>
    <w:rsid w:val="009B2E00"/>
    <w:rsid w:val="009B2FCD"/>
    <w:rsid w:val="009B35C1"/>
    <w:rsid w:val="009B3653"/>
    <w:rsid w:val="009B366F"/>
    <w:rsid w:val="009B37AD"/>
    <w:rsid w:val="009B38E1"/>
    <w:rsid w:val="009B3916"/>
    <w:rsid w:val="009B3A6B"/>
    <w:rsid w:val="009B3AFA"/>
    <w:rsid w:val="009B3C94"/>
    <w:rsid w:val="009B3EA0"/>
    <w:rsid w:val="009B3EDD"/>
    <w:rsid w:val="009B3EE7"/>
    <w:rsid w:val="009B3F64"/>
    <w:rsid w:val="009B3F96"/>
    <w:rsid w:val="009B4008"/>
    <w:rsid w:val="009B41E0"/>
    <w:rsid w:val="009B43B9"/>
    <w:rsid w:val="009B44BE"/>
    <w:rsid w:val="009B4BFD"/>
    <w:rsid w:val="009B4F0A"/>
    <w:rsid w:val="009B4F9D"/>
    <w:rsid w:val="009B509A"/>
    <w:rsid w:val="009B51F4"/>
    <w:rsid w:val="009B528A"/>
    <w:rsid w:val="009B5380"/>
    <w:rsid w:val="009B54C2"/>
    <w:rsid w:val="009B5828"/>
    <w:rsid w:val="009B5911"/>
    <w:rsid w:val="009B5CF7"/>
    <w:rsid w:val="009B5D86"/>
    <w:rsid w:val="009B609A"/>
    <w:rsid w:val="009B613E"/>
    <w:rsid w:val="009B61EF"/>
    <w:rsid w:val="009B631F"/>
    <w:rsid w:val="009B6384"/>
    <w:rsid w:val="009B65F5"/>
    <w:rsid w:val="009B68AB"/>
    <w:rsid w:val="009B6C35"/>
    <w:rsid w:val="009B6E3B"/>
    <w:rsid w:val="009B708A"/>
    <w:rsid w:val="009B7290"/>
    <w:rsid w:val="009B7414"/>
    <w:rsid w:val="009B7473"/>
    <w:rsid w:val="009B75D3"/>
    <w:rsid w:val="009B76BC"/>
    <w:rsid w:val="009B790C"/>
    <w:rsid w:val="009B79AC"/>
    <w:rsid w:val="009B7B5B"/>
    <w:rsid w:val="009B7D2F"/>
    <w:rsid w:val="009B7DD5"/>
    <w:rsid w:val="009C01A6"/>
    <w:rsid w:val="009C0333"/>
    <w:rsid w:val="009C05C5"/>
    <w:rsid w:val="009C0664"/>
    <w:rsid w:val="009C0726"/>
    <w:rsid w:val="009C0927"/>
    <w:rsid w:val="009C0D37"/>
    <w:rsid w:val="009C1125"/>
    <w:rsid w:val="009C112A"/>
    <w:rsid w:val="009C141A"/>
    <w:rsid w:val="009C1709"/>
    <w:rsid w:val="009C17BD"/>
    <w:rsid w:val="009C1899"/>
    <w:rsid w:val="009C1AD7"/>
    <w:rsid w:val="009C1C44"/>
    <w:rsid w:val="009C1CD2"/>
    <w:rsid w:val="009C1D46"/>
    <w:rsid w:val="009C1D61"/>
    <w:rsid w:val="009C1D80"/>
    <w:rsid w:val="009C1D9F"/>
    <w:rsid w:val="009C1FBC"/>
    <w:rsid w:val="009C2100"/>
    <w:rsid w:val="009C2784"/>
    <w:rsid w:val="009C2A02"/>
    <w:rsid w:val="009C2EA5"/>
    <w:rsid w:val="009C2ECA"/>
    <w:rsid w:val="009C3203"/>
    <w:rsid w:val="009C3452"/>
    <w:rsid w:val="009C3533"/>
    <w:rsid w:val="009C3DCC"/>
    <w:rsid w:val="009C4024"/>
    <w:rsid w:val="009C42E0"/>
    <w:rsid w:val="009C4414"/>
    <w:rsid w:val="009C45AB"/>
    <w:rsid w:val="009C481D"/>
    <w:rsid w:val="009C4E0A"/>
    <w:rsid w:val="009C5089"/>
    <w:rsid w:val="009C5102"/>
    <w:rsid w:val="009C51C6"/>
    <w:rsid w:val="009C51E6"/>
    <w:rsid w:val="009C53C1"/>
    <w:rsid w:val="009C581D"/>
    <w:rsid w:val="009C5A9F"/>
    <w:rsid w:val="009C5C94"/>
    <w:rsid w:val="009C5CAF"/>
    <w:rsid w:val="009C5D58"/>
    <w:rsid w:val="009C5D92"/>
    <w:rsid w:val="009C5E02"/>
    <w:rsid w:val="009C5E25"/>
    <w:rsid w:val="009C62BD"/>
    <w:rsid w:val="009C652E"/>
    <w:rsid w:val="009C6583"/>
    <w:rsid w:val="009C673E"/>
    <w:rsid w:val="009C691D"/>
    <w:rsid w:val="009C6A44"/>
    <w:rsid w:val="009C6AAC"/>
    <w:rsid w:val="009C6AD4"/>
    <w:rsid w:val="009C6B25"/>
    <w:rsid w:val="009C6BA0"/>
    <w:rsid w:val="009C6DE8"/>
    <w:rsid w:val="009C6F1E"/>
    <w:rsid w:val="009C6F6D"/>
    <w:rsid w:val="009C7039"/>
    <w:rsid w:val="009C71D4"/>
    <w:rsid w:val="009C76EB"/>
    <w:rsid w:val="009C7756"/>
    <w:rsid w:val="009C778A"/>
    <w:rsid w:val="009C7C0B"/>
    <w:rsid w:val="009C7D8A"/>
    <w:rsid w:val="009C7E67"/>
    <w:rsid w:val="009D014E"/>
    <w:rsid w:val="009D01A8"/>
    <w:rsid w:val="009D0244"/>
    <w:rsid w:val="009D02B7"/>
    <w:rsid w:val="009D03BC"/>
    <w:rsid w:val="009D03FA"/>
    <w:rsid w:val="009D05E3"/>
    <w:rsid w:val="009D060F"/>
    <w:rsid w:val="009D08F5"/>
    <w:rsid w:val="009D09CF"/>
    <w:rsid w:val="009D0FA0"/>
    <w:rsid w:val="009D0FCF"/>
    <w:rsid w:val="009D0FE9"/>
    <w:rsid w:val="009D11DD"/>
    <w:rsid w:val="009D1207"/>
    <w:rsid w:val="009D17A7"/>
    <w:rsid w:val="009D18D3"/>
    <w:rsid w:val="009D1CFA"/>
    <w:rsid w:val="009D21CC"/>
    <w:rsid w:val="009D22E3"/>
    <w:rsid w:val="009D2707"/>
    <w:rsid w:val="009D2A61"/>
    <w:rsid w:val="009D2B46"/>
    <w:rsid w:val="009D2F0B"/>
    <w:rsid w:val="009D2FA4"/>
    <w:rsid w:val="009D30A2"/>
    <w:rsid w:val="009D32FC"/>
    <w:rsid w:val="009D37A2"/>
    <w:rsid w:val="009D3AC7"/>
    <w:rsid w:val="009D3B68"/>
    <w:rsid w:val="009D3CF5"/>
    <w:rsid w:val="009D3DFF"/>
    <w:rsid w:val="009D3E33"/>
    <w:rsid w:val="009D3E4B"/>
    <w:rsid w:val="009D3F36"/>
    <w:rsid w:val="009D4031"/>
    <w:rsid w:val="009D405A"/>
    <w:rsid w:val="009D427A"/>
    <w:rsid w:val="009D42AB"/>
    <w:rsid w:val="009D42D7"/>
    <w:rsid w:val="009D441A"/>
    <w:rsid w:val="009D4546"/>
    <w:rsid w:val="009D45D5"/>
    <w:rsid w:val="009D46B6"/>
    <w:rsid w:val="009D488B"/>
    <w:rsid w:val="009D48F1"/>
    <w:rsid w:val="009D493F"/>
    <w:rsid w:val="009D49A6"/>
    <w:rsid w:val="009D4B13"/>
    <w:rsid w:val="009D4B46"/>
    <w:rsid w:val="009D4EE5"/>
    <w:rsid w:val="009D5351"/>
    <w:rsid w:val="009D5397"/>
    <w:rsid w:val="009D55B5"/>
    <w:rsid w:val="009D5792"/>
    <w:rsid w:val="009D5956"/>
    <w:rsid w:val="009D5A18"/>
    <w:rsid w:val="009D5B4E"/>
    <w:rsid w:val="009D5BFF"/>
    <w:rsid w:val="009D5F1A"/>
    <w:rsid w:val="009D5F3F"/>
    <w:rsid w:val="009D63BC"/>
    <w:rsid w:val="009D67E6"/>
    <w:rsid w:val="009D6869"/>
    <w:rsid w:val="009D6AB2"/>
    <w:rsid w:val="009D6C91"/>
    <w:rsid w:val="009D6D1F"/>
    <w:rsid w:val="009D6E07"/>
    <w:rsid w:val="009D7440"/>
    <w:rsid w:val="009D7506"/>
    <w:rsid w:val="009D763B"/>
    <w:rsid w:val="009D777D"/>
    <w:rsid w:val="009D79C3"/>
    <w:rsid w:val="009D7A00"/>
    <w:rsid w:val="009D7A96"/>
    <w:rsid w:val="009D7ADC"/>
    <w:rsid w:val="009D7BE1"/>
    <w:rsid w:val="009D7CAD"/>
    <w:rsid w:val="009E05F0"/>
    <w:rsid w:val="009E08E8"/>
    <w:rsid w:val="009E0A02"/>
    <w:rsid w:val="009E0A50"/>
    <w:rsid w:val="009E0DFC"/>
    <w:rsid w:val="009E0E3F"/>
    <w:rsid w:val="009E0ED6"/>
    <w:rsid w:val="009E12AC"/>
    <w:rsid w:val="009E14DE"/>
    <w:rsid w:val="009E166E"/>
    <w:rsid w:val="009E1676"/>
    <w:rsid w:val="009E1A0E"/>
    <w:rsid w:val="009E1A63"/>
    <w:rsid w:val="009E1ACF"/>
    <w:rsid w:val="009E1C40"/>
    <w:rsid w:val="009E1D3D"/>
    <w:rsid w:val="009E1E2B"/>
    <w:rsid w:val="009E214C"/>
    <w:rsid w:val="009E2288"/>
    <w:rsid w:val="009E23E6"/>
    <w:rsid w:val="009E24DE"/>
    <w:rsid w:val="009E2542"/>
    <w:rsid w:val="009E2710"/>
    <w:rsid w:val="009E2CF4"/>
    <w:rsid w:val="009E2E54"/>
    <w:rsid w:val="009E2F87"/>
    <w:rsid w:val="009E307A"/>
    <w:rsid w:val="009E33EF"/>
    <w:rsid w:val="009E3534"/>
    <w:rsid w:val="009E3580"/>
    <w:rsid w:val="009E3653"/>
    <w:rsid w:val="009E3920"/>
    <w:rsid w:val="009E3A3A"/>
    <w:rsid w:val="009E3DF8"/>
    <w:rsid w:val="009E3F2E"/>
    <w:rsid w:val="009E4237"/>
    <w:rsid w:val="009E4240"/>
    <w:rsid w:val="009E42A9"/>
    <w:rsid w:val="009E4447"/>
    <w:rsid w:val="009E4470"/>
    <w:rsid w:val="009E4626"/>
    <w:rsid w:val="009E4953"/>
    <w:rsid w:val="009E49D6"/>
    <w:rsid w:val="009E49F5"/>
    <w:rsid w:val="009E4B46"/>
    <w:rsid w:val="009E4C09"/>
    <w:rsid w:val="009E4E75"/>
    <w:rsid w:val="009E4FF7"/>
    <w:rsid w:val="009E5035"/>
    <w:rsid w:val="009E50D7"/>
    <w:rsid w:val="009E52FA"/>
    <w:rsid w:val="009E5321"/>
    <w:rsid w:val="009E584A"/>
    <w:rsid w:val="009E58A0"/>
    <w:rsid w:val="009E5BC0"/>
    <w:rsid w:val="009E5E2B"/>
    <w:rsid w:val="009E6033"/>
    <w:rsid w:val="009E628A"/>
    <w:rsid w:val="009E63FB"/>
    <w:rsid w:val="009E64D9"/>
    <w:rsid w:val="009E6960"/>
    <w:rsid w:val="009E6FB7"/>
    <w:rsid w:val="009E7046"/>
    <w:rsid w:val="009E70B7"/>
    <w:rsid w:val="009E76D7"/>
    <w:rsid w:val="009E778D"/>
    <w:rsid w:val="009E78FB"/>
    <w:rsid w:val="009E7CB0"/>
    <w:rsid w:val="009E7FCF"/>
    <w:rsid w:val="009F05FB"/>
    <w:rsid w:val="009F0A35"/>
    <w:rsid w:val="009F0AF4"/>
    <w:rsid w:val="009F0B5C"/>
    <w:rsid w:val="009F0BD2"/>
    <w:rsid w:val="009F10EB"/>
    <w:rsid w:val="009F139F"/>
    <w:rsid w:val="009F1419"/>
    <w:rsid w:val="009F1657"/>
    <w:rsid w:val="009F1C5C"/>
    <w:rsid w:val="009F1C6C"/>
    <w:rsid w:val="009F1CDB"/>
    <w:rsid w:val="009F1F83"/>
    <w:rsid w:val="009F2742"/>
    <w:rsid w:val="009F284D"/>
    <w:rsid w:val="009F2AE4"/>
    <w:rsid w:val="009F2D2E"/>
    <w:rsid w:val="009F2F6B"/>
    <w:rsid w:val="009F3045"/>
    <w:rsid w:val="009F3060"/>
    <w:rsid w:val="009F3794"/>
    <w:rsid w:val="009F37B6"/>
    <w:rsid w:val="009F37FF"/>
    <w:rsid w:val="009F3908"/>
    <w:rsid w:val="009F3C1B"/>
    <w:rsid w:val="009F3DAE"/>
    <w:rsid w:val="009F4104"/>
    <w:rsid w:val="009F4105"/>
    <w:rsid w:val="009F42ED"/>
    <w:rsid w:val="009F43DC"/>
    <w:rsid w:val="009F456B"/>
    <w:rsid w:val="009F47A7"/>
    <w:rsid w:val="009F4878"/>
    <w:rsid w:val="009F4FA1"/>
    <w:rsid w:val="009F501F"/>
    <w:rsid w:val="009F512A"/>
    <w:rsid w:val="009F5146"/>
    <w:rsid w:val="009F5295"/>
    <w:rsid w:val="009F5665"/>
    <w:rsid w:val="009F56A9"/>
    <w:rsid w:val="009F56D7"/>
    <w:rsid w:val="009F57EB"/>
    <w:rsid w:val="009F5994"/>
    <w:rsid w:val="009F59A3"/>
    <w:rsid w:val="009F5CDF"/>
    <w:rsid w:val="009F5F65"/>
    <w:rsid w:val="009F6116"/>
    <w:rsid w:val="009F611B"/>
    <w:rsid w:val="009F6134"/>
    <w:rsid w:val="009F62FC"/>
    <w:rsid w:val="009F64E7"/>
    <w:rsid w:val="009F6566"/>
    <w:rsid w:val="009F675A"/>
    <w:rsid w:val="009F6922"/>
    <w:rsid w:val="009F6972"/>
    <w:rsid w:val="009F6ADD"/>
    <w:rsid w:val="009F6BE2"/>
    <w:rsid w:val="009F6E8F"/>
    <w:rsid w:val="009F6F8D"/>
    <w:rsid w:val="009F7233"/>
    <w:rsid w:val="009F7A96"/>
    <w:rsid w:val="009F7DE8"/>
    <w:rsid w:val="00A00052"/>
    <w:rsid w:val="00A004DB"/>
    <w:rsid w:val="00A00571"/>
    <w:rsid w:val="00A005BA"/>
    <w:rsid w:val="00A00775"/>
    <w:rsid w:val="00A00D84"/>
    <w:rsid w:val="00A01036"/>
    <w:rsid w:val="00A01232"/>
    <w:rsid w:val="00A014A7"/>
    <w:rsid w:val="00A01873"/>
    <w:rsid w:val="00A01D40"/>
    <w:rsid w:val="00A01E04"/>
    <w:rsid w:val="00A020BA"/>
    <w:rsid w:val="00A02125"/>
    <w:rsid w:val="00A021D7"/>
    <w:rsid w:val="00A02411"/>
    <w:rsid w:val="00A025A2"/>
    <w:rsid w:val="00A02A72"/>
    <w:rsid w:val="00A02A75"/>
    <w:rsid w:val="00A02AC5"/>
    <w:rsid w:val="00A02BEC"/>
    <w:rsid w:val="00A0336D"/>
    <w:rsid w:val="00A03503"/>
    <w:rsid w:val="00A03786"/>
    <w:rsid w:val="00A0388F"/>
    <w:rsid w:val="00A03A56"/>
    <w:rsid w:val="00A03C46"/>
    <w:rsid w:val="00A03D13"/>
    <w:rsid w:val="00A03D18"/>
    <w:rsid w:val="00A03E15"/>
    <w:rsid w:val="00A03F55"/>
    <w:rsid w:val="00A04173"/>
    <w:rsid w:val="00A041AC"/>
    <w:rsid w:val="00A04302"/>
    <w:rsid w:val="00A04386"/>
    <w:rsid w:val="00A044B7"/>
    <w:rsid w:val="00A0468A"/>
    <w:rsid w:val="00A04776"/>
    <w:rsid w:val="00A0487D"/>
    <w:rsid w:val="00A04A71"/>
    <w:rsid w:val="00A05199"/>
    <w:rsid w:val="00A0549B"/>
    <w:rsid w:val="00A054F6"/>
    <w:rsid w:val="00A05602"/>
    <w:rsid w:val="00A0589F"/>
    <w:rsid w:val="00A05DAB"/>
    <w:rsid w:val="00A05E0A"/>
    <w:rsid w:val="00A05EEB"/>
    <w:rsid w:val="00A062F7"/>
    <w:rsid w:val="00A06366"/>
    <w:rsid w:val="00A06439"/>
    <w:rsid w:val="00A06588"/>
    <w:rsid w:val="00A06698"/>
    <w:rsid w:val="00A0684E"/>
    <w:rsid w:val="00A0686A"/>
    <w:rsid w:val="00A06A8F"/>
    <w:rsid w:val="00A06BBC"/>
    <w:rsid w:val="00A06DEB"/>
    <w:rsid w:val="00A06F24"/>
    <w:rsid w:val="00A06FD9"/>
    <w:rsid w:val="00A0720A"/>
    <w:rsid w:val="00A07283"/>
    <w:rsid w:val="00A072E1"/>
    <w:rsid w:val="00A0750E"/>
    <w:rsid w:val="00A075E0"/>
    <w:rsid w:val="00A0762D"/>
    <w:rsid w:val="00A0763E"/>
    <w:rsid w:val="00A0786E"/>
    <w:rsid w:val="00A0795E"/>
    <w:rsid w:val="00A07B67"/>
    <w:rsid w:val="00A07C02"/>
    <w:rsid w:val="00A07F4B"/>
    <w:rsid w:val="00A10260"/>
    <w:rsid w:val="00A103AC"/>
    <w:rsid w:val="00A10512"/>
    <w:rsid w:val="00A1054D"/>
    <w:rsid w:val="00A10573"/>
    <w:rsid w:val="00A10C25"/>
    <w:rsid w:val="00A10C31"/>
    <w:rsid w:val="00A10D61"/>
    <w:rsid w:val="00A11121"/>
    <w:rsid w:val="00A11242"/>
    <w:rsid w:val="00A1133D"/>
    <w:rsid w:val="00A1143E"/>
    <w:rsid w:val="00A11571"/>
    <w:rsid w:val="00A1184F"/>
    <w:rsid w:val="00A1189B"/>
    <w:rsid w:val="00A118C1"/>
    <w:rsid w:val="00A1192B"/>
    <w:rsid w:val="00A11CDD"/>
    <w:rsid w:val="00A12090"/>
    <w:rsid w:val="00A12556"/>
    <w:rsid w:val="00A125DA"/>
    <w:rsid w:val="00A1275F"/>
    <w:rsid w:val="00A127C6"/>
    <w:rsid w:val="00A129B9"/>
    <w:rsid w:val="00A12D4C"/>
    <w:rsid w:val="00A13255"/>
    <w:rsid w:val="00A134CB"/>
    <w:rsid w:val="00A13630"/>
    <w:rsid w:val="00A13764"/>
    <w:rsid w:val="00A139D8"/>
    <w:rsid w:val="00A13F19"/>
    <w:rsid w:val="00A14119"/>
    <w:rsid w:val="00A1448D"/>
    <w:rsid w:val="00A144A2"/>
    <w:rsid w:val="00A14749"/>
    <w:rsid w:val="00A1479F"/>
    <w:rsid w:val="00A147CE"/>
    <w:rsid w:val="00A149BE"/>
    <w:rsid w:val="00A14CFC"/>
    <w:rsid w:val="00A14D21"/>
    <w:rsid w:val="00A14D2F"/>
    <w:rsid w:val="00A14DC0"/>
    <w:rsid w:val="00A14E91"/>
    <w:rsid w:val="00A150B8"/>
    <w:rsid w:val="00A15215"/>
    <w:rsid w:val="00A154AB"/>
    <w:rsid w:val="00A1550F"/>
    <w:rsid w:val="00A15634"/>
    <w:rsid w:val="00A15852"/>
    <w:rsid w:val="00A15856"/>
    <w:rsid w:val="00A158D9"/>
    <w:rsid w:val="00A159B5"/>
    <w:rsid w:val="00A15AB4"/>
    <w:rsid w:val="00A15B7D"/>
    <w:rsid w:val="00A15BF6"/>
    <w:rsid w:val="00A15D5A"/>
    <w:rsid w:val="00A15D9C"/>
    <w:rsid w:val="00A162FB"/>
    <w:rsid w:val="00A1631D"/>
    <w:rsid w:val="00A165D7"/>
    <w:rsid w:val="00A165E4"/>
    <w:rsid w:val="00A16957"/>
    <w:rsid w:val="00A16CE6"/>
    <w:rsid w:val="00A170DA"/>
    <w:rsid w:val="00A17266"/>
    <w:rsid w:val="00A17296"/>
    <w:rsid w:val="00A1778B"/>
    <w:rsid w:val="00A178ED"/>
    <w:rsid w:val="00A17975"/>
    <w:rsid w:val="00A17ADC"/>
    <w:rsid w:val="00A17CD2"/>
    <w:rsid w:val="00A17F9C"/>
    <w:rsid w:val="00A20794"/>
    <w:rsid w:val="00A209FA"/>
    <w:rsid w:val="00A20A4D"/>
    <w:rsid w:val="00A20B94"/>
    <w:rsid w:val="00A20C98"/>
    <w:rsid w:val="00A20FDB"/>
    <w:rsid w:val="00A212FA"/>
    <w:rsid w:val="00A2155B"/>
    <w:rsid w:val="00A21659"/>
    <w:rsid w:val="00A21786"/>
    <w:rsid w:val="00A21965"/>
    <w:rsid w:val="00A21A0B"/>
    <w:rsid w:val="00A21C84"/>
    <w:rsid w:val="00A223FA"/>
    <w:rsid w:val="00A22405"/>
    <w:rsid w:val="00A224B6"/>
    <w:rsid w:val="00A22599"/>
    <w:rsid w:val="00A22922"/>
    <w:rsid w:val="00A23161"/>
    <w:rsid w:val="00A232F7"/>
    <w:rsid w:val="00A233C8"/>
    <w:rsid w:val="00A23817"/>
    <w:rsid w:val="00A23869"/>
    <w:rsid w:val="00A238CE"/>
    <w:rsid w:val="00A23999"/>
    <w:rsid w:val="00A23AC0"/>
    <w:rsid w:val="00A23B67"/>
    <w:rsid w:val="00A2427F"/>
    <w:rsid w:val="00A24312"/>
    <w:rsid w:val="00A245F5"/>
    <w:rsid w:val="00A246F2"/>
    <w:rsid w:val="00A2491D"/>
    <w:rsid w:val="00A24F1D"/>
    <w:rsid w:val="00A24F59"/>
    <w:rsid w:val="00A25009"/>
    <w:rsid w:val="00A2513C"/>
    <w:rsid w:val="00A251C5"/>
    <w:rsid w:val="00A25381"/>
    <w:rsid w:val="00A2562B"/>
    <w:rsid w:val="00A2564B"/>
    <w:rsid w:val="00A2571D"/>
    <w:rsid w:val="00A2592F"/>
    <w:rsid w:val="00A259A3"/>
    <w:rsid w:val="00A25A95"/>
    <w:rsid w:val="00A25F33"/>
    <w:rsid w:val="00A25FC0"/>
    <w:rsid w:val="00A26367"/>
    <w:rsid w:val="00A268C9"/>
    <w:rsid w:val="00A268F2"/>
    <w:rsid w:val="00A269EB"/>
    <w:rsid w:val="00A26A7B"/>
    <w:rsid w:val="00A26AEF"/>
    <w:rsid w:val="00A26B7A"/>
    <w:rsid w:val="00A26C62"/>
    <w:rsid w:val="00A26F5E"/>
    <w:rsid w:val="00A272A6"/>
    <w:rsid w:val="00A27322"/>
    <w:rsid w:val="00A300C7"/>
    <w:rsid w:val="00A3017B"/>
    <w:rsid w:val="00A3022D"/>
    <w:rsid w:val="00A3029A"/>
    <w:rsid w:val="00A30339"/>
    <w:rsid w:val="00A303D7"/>
    <w:rsid w:val="00A3052B"/>
    <w:rsid w:val="00A305D1"/>
    <w:rsid w:val="00A306C6"/>
    <w:rsid w:val="00A30902"/>
    <w:rsid w:val="00A30ADE"/>
    <w:rsid w:val="00A30BDA"/>
    <w:rsid w:val="00A30FB9"/>
    <w:rsid w:val="00A31372"/>
    <w:rsid w:val="00A31546"/>
    <w:rsid w:val="00A31AEC"/>
    <w:rsid w:val="00A31CF3"/>
    <w:rsid w:val="00A31DEE"/>
    <w:rsid w:val="00A31F6A"/>
    <w:rsid w:val="00A31FCC"/>
    <w:rsid w:val="00A32050"/>
    <w:rsid w:val="00A32114"/>
    <w:rsid w:val="00A3284F"/>
    <w:rsid w:val="00A32BE3"/>
    <w:rsid w:val="00A32CC7"/>
    <w:rsid w:val="00A32D9B"/>
    <w:rsid w:val="00A33228"/>
    <w:rsid w:val="00A333BE"/>
    <w:rsid w:val="00A335D4"/>
    <w:rsid w:val="00A33632"/>
    <w:rsid w:val="00A3398D"/>
    <w:rsid w:val="00A33A56"/>
    <w:rsid w:val="00A33C1E"/>
    <w:rsid w:val="00A33F21"/>
    <w:rsid w:val="00A340C5"/>
    <w:rsid w:val="00A3411B"/>
    <w:rsid w:val="00A343FC"/>
    <w:rsid w:val="00A344C7"/>
    <w:rsid w:val="00A347C8"/>
    <w:rsid w:val="00A3482B"/>
    <w:rsid w:val="00A34934"/>
    <w:rsid w:val="00A34BCE"/>
    <w:rsid w:val="00A34C3D"/>
    <w:rsid w:val="00A34EAF"/>
    <w:rsid w:val="00A35229"/>
    <w:rsid w:val="00A35484"/>
    <w:rsid w:val="00A3552E"/>
    <w:rsid w:val="00A35539"/>
    <w:rsid w:val="00A357A1"/>
    <w:rsid w:val="00A357D4"/>
    <w:rsid w:val="00A35A36"/>
    <w:rsid w:val="00A35AEB"/>
    <w:rsid w:val="00A35B44"/>
    <w:rsid w:val="00A36404"/>
    <w:rsid w:val="00A36464"/>
    <w:rsid w:val="00A36503"/>
    <w:rsid w:val="00A36667"/>
    <w:rsid w:val="00A367B5"/>
    <w:rsid w:val="00A36827"/>
    <w:rsid w:val="00A368E8"/>
    <w:rsid w:val="00A36977"/>
    <w:rsid w:val="00A36A6F"/>
    <w:rsid w:val="00A36BE5"/>
    <w:rsid w:val="00A36C20"/>
    <w:rsid w:val="00A36C61"/>
    <w:rsid w:val="00A36C68"/>
    <w:rsid w:val="00A36E64"/>
    <w:rsid w:val="00A37316"/>
    <w:rsid w:val="00A373AD"/>
    <w:rsid w:val="00A374E1"/>
    <w:rsid w:val="00A376F1"/>
    <w:rsid w:val="00A377DC"/>
    <w:rsid w:val="00A37929"/>
    <w:rsid w:val="00A37C18"/>
    <w:rsid w:val="00A37CEB"/>
    <w:rsid w:val="00A37DE0"/>
    <w:rsid w:val="00A37E6C"/>
    <w:rsid w:val="00A40181"/>
    <w:rsid w:val="00A40274"/>
    <w:rsid w:val="00A4033B"/>
    <w:rsid w:val="00A4045B"/>
    <w:rsid w:val="00A4046A"/>
    <w:rsid w:val="00A404FD"/>
    <w:rsid w:val="00A40635"/>
    <w:rsid w:val="00A40694"/>
    <w:rsid w:val="00A4082F"/>
    <w:rsid w:val="00A40A3E"/>
    <w:rsid w:val="00A40BA5"/>
    <w:rsid w:val="00A40F9D"/>
    <w:rsid w:val="00A41307"/>
    <w:rsid w:val="00A417FE"/>
    <w:rsid w:val="00A41849"/>
    <w:rsid w:val="00A4187A"/>
    <w:rsid w:val="00A41D6C"/>
    <w:rsid w:val="00A41E51"/>
    <w:rsid w:val="00A41F02"/>
    <w:rsid w:val="00A41F46"/>
    <w:rsid w:val="00A42393"/>
    <w:rsid w:val="00A4264C"/>
    <w:rsid w:val="00A42BC0"/>
    <w:rsid w:val="00A42F15"/>
    <w:rsid w:val="00A4306F"/>
    <w:rsid w:val="00A4338D"/>
    <w:rsid w:val="00A43513"/>
    <w:rsid w:val="00A43780"/>
    <w:rsid w:val="00A437A2"/>
    <w:rsid w:val="00A438AE"/>
    <w:rsid w:val="00A43A04"/>
    <w:rsid w:val="00A43B05"/>
    <w:rsid w:val="00A43BE4"/>
    <w:rsid w:val="00A43C13"/>
    <w:rsid w:val="00A44209"/>
    <w:rsid w:val="00A442F8"/>
    <w:rsid w:val="00A44464"/>
    <w:rsid w:val="00A444ED"/>
    <w:rsid w:val="00A44614"/>
    <w:rsid w:val="00A4484F"/>
    <w:rsid w:val="00A44937"/>
    <w:rsid w:val="00A44AE8"/>
    <w:rsid w:val="00A44C96"/>
    <w:rsid w:val="00A44D41"/>
    <w:rsid w:val="00A44DF1"/>
    <w:rsid w:val="00A4500C"/>
    <w:rsid w:val="00A45044"/>
    <w:rsid w:val="00A45116"/>
    <w:rsid w:val="00A4590A"/>
    <w:rsid w:val="00A45A3D"/>
    <w:rsid w:val="00A45B38"/>
    <w:rsid w:val="00A45CDF"/>
    <w:rsid w:val="00A461E8"/>
    <w:rsid w:val="00A4628B"/>
    <w:rsid w:val="00A46BA0"/>
    <w:rsid w:val="00A46D09"/>
    <w:rsid w:val="00A46FE4"/>
    <w:rsid w:val="00A4706A"/>
    <w:rsid w:val="00A4715D"/>
    <w:rsid w:val="00A47361"/>
    <w:rsid w:val="00A479D3"/>
    <w:rsid w:val="00A47D09"/>
    <w:rsid w:val="00A47EC8"/>
    <w:rsid w:val="00A501A9"/>
    <w:rsid w:val="00A502BC"/>
    <w:rsid w:val="00A50680"/>
    <w:rsid w:val="00A50784"/>
    <w:rsid w:val="00A507BD"/>
    <w:rsid w:val="00A50B1E"/>
    <w:rsid w:val="00A50B43"/>
    <w:rsid w:val="00A50B94"/>
    <w:rsid w:val="00A50FA1"/>
    <w:rsid w:val="00A51038"/>
    <w:rsid w:val="00A510F5"/>
    <w:rsid w:val="00A51189"/>
    <w:rsid w:val="00A511C6"/>
    <w:rsid w:val="00A5126C"/>
    <w:rsid w:val="00A515F2"/>
    <w:rsid w:val="00A51734"/>
    <w:rsid w:val="00A51778"/>
    <w:rsid w:val="00A51BE5"/>
    <w:rsid w:val="00A51D79"/>
    <w:rsid w:val="00A51E7D"/>
    <w:rsid w:val="00A51EAB"/>
    <w:rsid w:val="00A51FED"/>
    <w:rsid w:val="00A52053"/>
    <w:rsid w:val="00A520D5"/>
    <w:rsid w:val="00A5219D"/>
    <w:rsid w:val="00A521A0"/>
    <w:rsid w:val="00A52335"/>
    <w:rsid w:val="00A52384"/>
    <w:rsid w:val="00A5248C"/>
    <w:rsid w:val="00A5297C"/>
    <w:rsid w:val="00A52BF8"/>
    <w:rsid w:val="00A52D08"/>
    <w:rsid w:val="00A52E5C"/>
    <w:rsid w:val="00A531BD"/>
    <w:rsid w:val="00A53226"/>
    <w:rsid w:val="00A5327F"/>
    <w:rsid w:val="00A53369"/>
    <w:rsid w:val="00A53611"/>
    <w:rsid w:val="00A53619"/>
    <w:rsid w:val="00A53687"/>
    <w:rsid w:val="00A53817"/>
    <w:rsid w:val="00A5383F"/>
    <w:rsid w:val="00A53945"/>
    <w:rsid w:val="00A5400C"/>
    <w:rsid w:val="00A54164"/>
    <w:rsid w:val="00A541EE"/>
    <w:rsid w:val="00A543E3"/>
    <w:rsid w:val="00A5453A"/>
    <w:rsid w:val="00A5473C"/>
    <w:rsid w:val="00A54F1D"/>
    <w:rsid w:val="00A55046"/>
    <w:rsid w:val="00A5517A"/>
    <w:rsid w:val="00A551F9"/>
    <w:rsid w:val="00A55478"/>
    <w:rsid w:val="00A55AAE"/>
    <w:rsid w:val="00A55C45"/>
    <w:rsid w:val="00A55D1B"/>
    <w:rsid w:val="00A56033"/>
    <w:rsid w:val="00A560D8"/>
    <w:rsid w:val="00A561A0"/>
    <w:rsid w:val="00A561B3"/>
    <w:rsid w:val="00A56393"/>
    <w:rsid w:val="00A566A9"/>
    <w:rsid w:val="00A56815"/>
    <w:rsid w:val="00A568FC"/>
    <w:rsid w:val="00A56AD5"/>
    <w:rsid w:val="00A56E43"/>
    <w:rsid w:val="00A56F94"/>
    <w:rsid w:val="00A579B6"/>
    <w:rsid w:val="00A579FE"/>
    <w:rsid w:val="00A57CD7"/>
    <w:rsid w:val="00A60200"/>
    <w:rsid w:val="00A602C9"/>
    <w:rsid w:val="00A60465"/>
    <w:rsid w:val="00A605AB"/>
    <w:rsid w:val="00A60795"/>
    <w:rsid w:val="00A60F0F"/>
    <w:rsid w:val="00A610A9"/>
    <w:rsid w:val="00A6114E"/>
    <w:rsid w:val="00A611AE"/>
    <w:rsid w:val="00A614CB"/>
    <w:rsid w:val="00A617D0"/>
    <w:rsid w:val="00A617EF"/>
    <w:rsid w:val="00A61AE5"/>
    <w:rsid w:val="00A6203B"/>
    <w:rsid w:val="00A6216F"/>
    <w:rsid w:val="00A6221A"/>
    <w:rsid w:val="00A626E2"/>
    <w:rsid w:val="00A628EC"/>
    <w:rsid w:val="00A629B1"/>
    <w:rsid w:val="00A62AD6"/>
    <w:rsid w:val="00A62D95"/>
    <w:rsid w:val="00A62DDE"/>
    <w:rsid w:val="00A63034"/>
    <w:rsid w:val="00A63079"/>
    <w:rsid w:val="00A63522"/>
    <w:rsid w:val="00A638BC"/>
    <w:rsid w:val="00A638CA"/>
    <w:rsid w:val="00A63917"/>
    <w:rsid w:val="00A63A94"/>
    <w:rsid w:val="00A63AE6"/>
    <w:rsid w:val="00A63BD0"/>
    <w:rsid w:val="00A63DF6"/>
    <w:rsid w:val="00A63FC2"/>
    <w:rsid w:val="00A6427D"/>
    <w:rsid w:val="00A6431E"/>
    <w:rsid w:val="00A64380"/>
    <w:rsid w:val="00A6457B"/>
    <w:rsid w:val="00A64700"/>
    <w:rsid w:val="00A64832"/>
    <w:rsid w:val="00A64A9A"/>
    <w:rsid w:val="00A64B48"/>
    <w:rsid w:val="00A64E10"/>
    <w:rsid w:val="00A650A3"/>
    <w:rsid w:val="00A6511D"/>
    <w:rsid w:val="00A65201"/>
    <w:rsid w:val="00A654A0"/>
    <w:rsid w:val="00A65763"/>
    <w:rsid w:val="00A65764"/>
    <w:rsid w:val="00A6581C"/>
    <w:rsid w:val="00A658CA"/>
    <w:rsid w:val="00A658E1"/>
    <w:rsid w:val="00A659F9"/>
    <w:rsid w:val="00A65B1A"/>
    <w:rsid w:val="00A65C5E"/>
    <w:rsid w:val="00A662B9"/>
    <w:rsid w:val="00A663DE"/>
    <w:rsid w:val="00A66E36"/>
    <w:rsid w:val="00A67113"/>
    <w:rsid w:val="00A67464"/>
    <w:rsid w:val="00A67532"/>
    <w:rsid w:val="00A67546"/>
    <w:rsid w:val="00A675F7"/>
    <w:rsid w:val="00A678AA"/>
    <w:rsid w:val="00A67AE3"/>
    <w:rsid w:val="00A67D1C"/>
    <w:rsid w:val="00A67D8B"/>
    <w:rsid w:val="00A67EF1"/>
    <w:rsid w:val="00A67FDE"/>
    <w:rsid w:val="00A70317"/>
    <w:rsid w:val="00A70983"/>
    <w:rsid w:val="00A709D5"/>
    <w:rsid w:val="00A70AA3"/>
    <w:rsid w:val="00A70B02"/>
    <w:rsid w:val="00A70BFD"/>
    <w:rsid w:val="00A70E83"/>
    <w:rsid w:val="00A70F99"/>
    <w:rsid w:val="00A7117C"/>
    <w:rsid w:val="00A71275"/>
    <w:rsid w:val="00A712C4"/>
    <w:rsid w:val="00A718A2"/>
    <w:rsid w:val="00A71926"/>
    <w:rsid w:val="00A719A6"/>
    <w:rsid w:val="00A71FEA"/>
    <w:rsid w:val="00A721AC"/>
    <w:rsid w:val="00A72222"/>
    <w:rsid w:val="00A72342"/>
    <w:rsid w:val="00A723A5"/>
    <w:rsid w:val="00A72A81"/>
    <w:rsid w:val="00A730B4"/>
    <w:rsid w:val="00A73221"/>
    <w:rsid w:val="00A73387"/>
    <w:rsid w:val="00A736E5"/>
    <w:rsid w:val="00A73CCB"/>
    <w:rsid w:val="00A73EC6"/>
    <w:rsid w:val="00A73F52"/>
    <w:rsid w:val="00A74099"/>
    <w:rsid w:val="00A744A9"/>
    <w:rsid w:val="00A74763"/>
    <w:rsid w:val="00A747EC"/>
    <w:rsid w:val="00A748DF"/>
    <w:rsid w:val="00A74964"/>
    <w:rsid w:val="00A74B8E"/>
    <w:rsid w:val="00A74C23"/>
    <w:rsid w:val="00A74C82"/>
    <w:rsid w:val="00A74FCB"/>
    <w:rsid w:val="00A7504A"/>
    <w:rsid w:val="00A753F2"/>
    <w:rsid w:val="00A754F5"/>
    <w:rsid w:val="00A75F8B"/>
    <w:rsid w:val="00A75FE3"/>
    <w:rsid w:val="00A76003"/>
    <w:rsid w:val="00A76397"/>
    <w:rsid w:val="00A763E7"/>
    <w:rsid w:val="00A7655B"/>
    <w:rsid w:val="00A765AA"/>
    <w:rsid w:val="00A76659"/>
    <w:rsid w:val="00A766FC"/>
    <w:rsid w:val="00A76763"/>
    <w:rsid w:val="00A7694F"/>
    <w:rsid w:val="00A77180"/>
    <w:rsid w:val="00A771F0"/>
    <w:rsid w:val="00A77319"/>
    <w:rsid w:val="00A77487"/>
    <w:rsid w:val="00A77696"/>
    <w:rsid w:val="00A776ED"/>
    <w:rsid w:val="00A77773"/>
    <w:rsid w:val="00A77892"/>
    <w:rsid w:val="00A77E7D"/>
    <w:rsid w:val="00A77ECA"/>
    <w:rsid w:val="00A80507"/>
    <w:rsid w:val="00A806B6"/>
    <w:rsid w:val="00A80708"/>
    <w:rsid w:val="00A808A1"/>
    <w:rsid w:val="00A80AF6"/>
    <w:rsid w:val="00A80CD6"/>
    <w:rsid w:val="00A80E81"/>
    <w:rsid w:val="00A81107"/>
    <w:rsid w:val="00A81306"/>
    <w:rsid w:val="00A8201E"/>
    <w:rsid w:val="00A82109"/>
    <w:rsid w:val="00A82160"/>
    <w:rsid w:val="00A8237C"/>
    <w:rsid w:val="00A82434"/>
    <w:rsid w:val="00A82528"/>
    <w:rsid w:val="00A8252D"/>
    <w:rsid w:val="00A82D77"/>
    <w:rsid w:val="00A835DD"/>
    <w:rsid w:val="00A83912"/>
    <w:rsid w:val="00A83997"/>
    <w:rsid w:val="00A83A3D"/>
    <w:rsid w:val="00A83AEA"/>
    <w:rsid w:val="00A83C0A"/>
    <w:rsid w:val="00A83C18"/>
    <w:rsid w:val="00A83E9F"/>
    <w:rsid w:val="00A84135"/>
    <w:rsid w:val="00A84267"/>
    <w:rsid w:val="00A84281"/>
    <w:rsid w:val="00A84309"/>
    <w:rsid w:val="00A84525"/>
    <w:rsid w:val="00A84716"/>
    <w:rsid w:val="00A84921"/>
    <w:rsid w:val="00A84E5D"/>
    <w:rsid w:val="00A84E74"/>
    <w:rsid w:val="00A84EF5"/>
    <w:rsid w:val="00A851BC"/>
    <w:rsid w:val="00A852BB"/>
    <w:rsid w:val="00A852EF"/>
    <w:rsid w:val="00A854EE"/>
    <w:rsid w:val="00A858C7"/>
    <w:rsid w:val="00A859F1"/>
    <w:rsid w:val="00A85A67"/>
    <w:rsid w:val="00A85F3A"/>
    <w:rsid w:val="00A86031"/>
    <w:rsid w:val="00A861C2"/>
    <w:rsid w:val="00A86264"/>
    <w:rsid w:val="00A86316"/>
    <w:rsid w:val="00A865B5"/>
    <w:rsid w:val="00A865D6"/>
    <w:rsid w:val="00A86736"/>
    <w:rsid w:val="00A86981"/>
    <w:rsid w:val="00A86A7F"/>
    <w:rsid w:val="00A86AB5"/>
    <w:rsid w:val="00A86C77"/>
    <w:rsid w:val="00A86FFD"/>
    <w:rsid w:val="00A8718A"/>
    <w:rsid w:val="00A876DE"/>
    <w:rsid w:val="00A877DF"/>
    <w:rsid w:val="00A87E4B"/>
    <w:rsid w:val="00A90009"/>
    <w:rsid w:val="00A9028A"/>
    <w:rsid w:val="00A9042B"/>
    <w:rsid w:val="00A90694"/>
    <w:rsid w:val="00A906ED"/>
    <w:rsid w:val="00A90AD3"/>
    <w:rsid w:val="00A90AD8"/>
    <w:rsid w:val="00A90F9C"/>
    <w:rsid w:val="00A910AB"/>
    <w:rsid w:val="00A9116F"/>
    <w:rsid w:val="00A9117D"/>
    <w:rsid w:val="00A911AF"/>
    <w:rsid w:val="00A913FC"/>
    <w:rsid w:val="00A91445"/>
    <w:rsid w:val="00A914BA"/>
    <w:rsid w:val="00A914F5"/>
    <w:rsid w:val="00A91507"/>
    <w:rsid w:val="00A916A8"/>
    <w:rsid w:val="00A917C9"/>
    <w:rsid w:val="00A918D5"/>
    <w:rsid w:val="00A91931"/>
    <w:rsid w:val="00A91A11"/>
    <w:rsid w:val="00A91D81"/>
    <w:rsid w:val="00A9239A"/>
    <w:rsid w:val="00A923EC"/>
    <w:rsid w:val="00A9271F"/>
    <w:rsid w:val="00A92B74"/>
    <w:rsid w:val="00A92D88"/>
    <w:rsid w:val="00A92F84"/>
    <w:rsid w:val="00A92F88"/>
    <w:rsid w:val="00A931DE"/>
    <w:rsid w:val="00A931E1"/>
    <w:rsid w:val="00A93319"/>
    <w:rsid w:val="00A93521"/>
    <w:rsid w:val="00A938B2"/>
    <w:rsid w:val="00A938CB"/>
    <w:rsid w:val="00A93977"/>
    <w:rsid w:val="00A939AA"/>
    <w:rsid w:val="00A93C03"/>
    <w:rsid w:val="00A93C57"/>
    <w:rsid w:val="00A93CC0"/>
    <w:rsid w:val="00A93F56"/>
    <w:rsid w:val="00A944A1"/>
    <w:rsid w:val="00A947BA"/>
    <w:rsid w:val="00A948E5"/>
    <w:rsid w:val="00A94A03"/>
    <w:rsid w:val="00A95196"/>
    <w:rsid w:val="00A9544A"/>
    <w:rsid w:val="00A95736"/>
    <w:rsid w:val="00A95792"/>
    <w:rsid w:val="00A95AE0"/>
    <w:rsid w:val="00A95AF9"/>
    <w:rsid w:val="00A95CFD"/>
    <w:rsid w:val="00A961F7"/>
    <w:rsid w:val="00A962F2"/>
    <w:rsid w:val="00A96368"/>
    <w:rsid w:val="00A96680"/>
    <w:rsid w:val="00A96955"/>
    <w:rsid w:val="00A96ED4"/>
    <w:rsid w:val="00A96EE4"/>
    <w:rsid w:val="00A970AE"/>
    <w:rsid w:val="00A97133"/>
    <w:rsid w:val="00A9717D"/>
    <w:rsid w:val="00A9721C"/>
    <w:rsid w:val="00A9769E"/>
    <w:rsid w:val="00A978DE"/>
    <w:rsid w:val="00A979A3"/>
    <w:rsid w:val="00A97AAE"/>
    <w:rsid w:val="00A97C52"/>
    <w:rsid w:val="00A97CBA"/>
    <w:rsid w:val="00AA00A7"/>
    <w:rsid w:val="00AA012B"/>
    <w:rsid w:val="00AA012E"/>
    <w:rsid w:val="00AA019E"/>
    <w:rsid w:val="00AA03F8"/>
    <w:rsid w:val="00AA0518"/>
    <w:rsid w:val="00AA0891"/>
    <w:rsid w:val="00AA0E39"/>
    <w:rsid w:val="00AA101B"/>
    <w:rsid w:val="00AA149E"/>
    <w:rsid w:val="00AA14B3"/>
    <w:rsid w:val="00AA199B"/>
    <w:rsid w:val="00AA1A64"/>
    <w:rsid w:val="00AA1AD4"/>
    <w:rsid w:val="00AA1D27"/>
    <w:rsid w:val="00AA1D51"/>
    <w:rsid w:val="00AA1E1E"/>
    <w:rsid w:val="00AA232A"/>
    <w:rsid w:val="00AA2488"/>
    <w:rsid w:val="00AA277F"/>
    <w:rsid w:val="00AA29F1"/>
    <w:rsid w:val="00AA2B06"/>
    <w:rsid w:val="00AA2B4A"/>
    <w:rsid w:val="00AA2EA6"/>
    <w:rsid w:val="00AA2EB6"/>
    <w:rsid w:val="00AA2F1E"/>
    <w:rsid w:val="00AA2F71"/>
    <w:rsid w:val="00AA2F88"/>
    <w:rsid w:val="00AA3213"/>
    <w:rsid w:val="00AA32D3"/>
    <w:rsid w:val="00AA3390"/>
    <w:rsid w:val="00AA3710"/>
    <w:rsid w:val="00AA3743"/>
    <w:rsid w:val="00AA3877"/>
    <w:rsid w:val="00AA3A4B"/>
    <w:rsid w:val="00AA4039"/>
    <w:rsid w:val="00AA4154"/>
    <w:rsid w:val="00AA42B8"/>
    <w:rsid w:val="00AA4849"/>
    <w:rsid w:val="00AA4A1C"/>
    <w:rsid w:val="00AA4A2C"/>
    <w:rsid w:val="00AA4AB6"/>
    <w:rsid w:val="00AA4BB8"/>
    <w:rsid w:val="00AA4D01"/>
    <w:rsid w:val="00AA5007"/>
    <w:rsid w:val="00AA512D"/>
    <w:rsid w:val="00AA5220"/>
    <w:rsid w:val="00AA52A5"/>
    <w:rsid w:val="00AA5889"/>
    <w:rsid w:val="00AA5A3F"/>
    <w:rsid w:val="00AA5D15"/>
    <w:rsid w:val="00AA5D39"/>
    <w:rsid w:val="00AA602B"/>
    <w:rsid w:val="00AA605F"/>
    <w:rsid w:val="00AA63D7"/>
    <w:rsid w:val="00AA64B8"/>
    <w:rsid w:val="00AA6552"/>
    <w:rsid w:val="00AA6A6E"/>
    <w:rsid w:val="00AA6C22"/>
    <w:rsid w:val="00AA6F1F"/>
    <w:rsid w:val="00AA7062"/>
    <w:rsid w:val="00AA7367"/>
    <w:rsid w:val="00AA73F2"/>
    <w:rsid w:val="00AA74EB"/>
    <w:rsid w:val="00AA7530"/>
    <w:rsid w:val="00AA7551"/>
    <w:rsid w:val="00AA75CD"/>
    <w:rsid w:val="00AA76FA"/>
    <w:rsid w:val="00AA77B8"/>
    <w:rsid w:val="00AA7892"/>
    <w:rsid w:val="00AA79D9"/>
    <w:rsid w:val="00AA7DA2"/>
    <w:rsid w:val="00AA7F11"/>
    <w:rsid w:val="00AA7FE5"/>
    <w:rsid w:val="00AB0098"/>
    <w:rsid w:val="00AB014C"/>
    <w:rsid w:val="00AB0378"/>
    <w:rsid w:val="00AB047D"/>
    <w:rsid w:val="00AB04AB"/>
    <w:rsid w:val="00AB06BB"/>
    <w:rsid w:val="00AB07B5"/>
    <w:rsid w:val="00AB0A08"/>
    <w:rsid w:val="00AB0A62"/>
    <w:rsid w:val="00AB0AC9"/>
    <w:rsid w:val="00AB0BCF"/>
    <w:rsid w:val="00AB0CB5"/>
    <w:rsid w:val="00AB10C2"/>
    <w:rsid w:val="00AB1224"/>
    <w:rsid w:val="00AB139F"/>
    <w:rsid w:val="00AB1452"/>
    <w:rsid w:val="00AB1477"/>
    <w:rsid w:val="00AB160D"/>
    <w:rsid w:val="00AB1681"/>
    <w:rsid w:val="00AB1CAC"/>
    <w:rsid w:val="00AB1CC2"/>
    <w:rsid w:val="00AB1DF7"/>
    <w:rsid w:val="00AB1E0A"/>
    <w:rsid w:val="00AB1FE2"/>
    <w:rsid w:val="00AB203D"/>
    <w:rsid w:val="00AB2135"/>
    <w:rsid w:val="00AB21BD"/>
    <w:rsid w:val="00AB2461"/>
    <w:rsid w:val="00AB2596"/>
    <w:rsid w:val="00AB26B5"/>
    <w:rsid w:val="00AB27A0"/>
    <w:rsid w:val="00AB29B6"/>
    <w:rsid w:val="00AB2AE2"/>
    <w:rsid w:val="00AB2B0B"/>
    <w:rsid w:val="00AB3200"/>
    <w:rsid w:val="00AB32A4"/>
    <w:rsid w:val="00AB3C6C"/>
    <w:rsid w:val="00AB3D5F"/>
    <w:rsid w:val="00AB3E0A"/>
    <w:rsid w:val="00AB3F45"/>
    <w:rsid w:val="00AB48A6"/>
    <w:rsid w:val="00AB4C10"/>
    <w:rsid w:val="00AB4D04"/>
    <w:rsid w:val="00AB4D14"/>
    <w:rsid w:val="00AB4EA5"/>
    <w:rsid w:val="00AB5000"/>
    <w:rsid w:val="00AB529D"/>
    <w:rsid w:val="00AB55AB"/>
    <w:rsid w:val="00AB56C3"/>
    <w:rsid w:val="00AB5B69"/>
    <w:rsid w:val="00AB5D95"/>
    <w:rsid w:val="00AB61C5"/>
    <w:rsid w:val="00AB66DE"/>
    <w:rsid w:val="00AB69D7"/>
    <w:rsid w:val="00AB6D95"/>
    <w:rsid w:val="00AB71BA"/>
    <w:rsid w:val="00AB728F"/>
    <w:rsid w:val="00AB73CB"/>
    <w:rsid w:val="00AB7676"/>
    <w:rsid w:val="00AB76D5"/>
    <w:rsid w:val="00AB788F"/>
    <w:rsid w:val="00AB7D02"/>
    <w:rsid w:val="00AB7EBF"/>
    <w:rsid w:val="00AB7FE6"/>
    <w:rsid w:val="00AB7FE9"/>
    <w:rsid w:val="00AC0082"/>
    <w:rsid w:val="00AC0ECA"/>
    <w:rsid w:val="00AC0EF1"/>
    <w:rsid w:val="00AC1206"/>
    <w:rsid w:val="00AC1240"/>
    <w:rsid w:val="00AC130C"/>
    <w:rsid w:val="00AC14C1"/>
    <w:rsid w:val="00AC14F4"/>
    <w:rsid w:val="00AC15E2"/>
    <w:rsid w:val="00AC1792"/>
    <w:rsid w:val="00AC17C2"/>
    <w:rsid w:val="00AC1A21"/>
    <w:rsid w:val="00AC1B08"/>
    <w:rsid w:val="00AC1FEC"/>
    <w:rsid w:val="00AC2243"/>
    <w:rsid w:val="00AC22FB"/>
    <w:rsid w:val="00AC2513"/>
    <w:rsid w:val="00AC2574"/>
    <w:rsid w:val="00AC26B4"/>
    <w:rsid w:val="00AC2AA7"/>
    <w:rsid w:val="00AC2C53"/>
    <w:rsid w:val="00AC2D24"/>
    <w:rsid w:val="00AC2EEB"/>
    <w:rsid w:val="00AC2FCD"/>
    <w:rsid w:val="00AC32DF"/>
    <w:rsid w:val="00AC32E4"/>
    <w:rsid w:val="00AC337A"/>
    <w:rsid w:val="00AC3650"/>
    <w:rsid w:val="00AC36A1"/>
    <w:rsid w:val="00AC373E"/>
    <w:rsid w:val="00AC3DE9"/>
    <w:rsid w:val="00AC3FA2"/>
    <w:rsid w:val="00AC4082"/>
    <w:rsid w:val="00AC4427"/>
    <w:rsid w:val="00AC4778"/>
    <w:rsid w:val="00AC48A3"/>
    <w:rsid w:val="00AC4BB2"/>
    <w:rsid w:val="00AC51AF"/>
    <w:rsid w:val="00AC524F"/>
    <w:rsid w:val="00AC53DB"/>
    <w:rsid w:val="00AC5654"/>
    <w:rsid w:val="00AC56D8"/>
    <w:rsid w:val="00AC5733"/>
    <w:rsid w:val="00AC5EA3"/>
    <w:rsid w:val="00AC5F0B"/>
    <w:rsid w:val="00AC5F90"/>
    <w:rsid w:val="00AC6182"/>
    <w:rsid w:val="00AC6923"/>
    <w:rsid w:val="00AC6CA7"/>
    <w:rsid w:val="00AC6D9E"/>
    <w:rsid w:val="00AC6EE9"/>
    <w:rsid w:val="00AC6FC2"/>
    <w:rsid w:val="00AC71E7"/>
    <w:rsid w:val="00AC74AE"/>
    <w:rsid w:val="00AC7DF7"/>
    <w:rsid w:val="00AC7FC3"/>
    <w:rsid w:val="00AD088A"/>
    <w:rsid w:val="00AD0EBC"/>
    <w:rsid w:val="00AD1527"/>
    <w:rsid w:val="00AD1B4D"/>
    <w:rsid w:val="00AD1E3F"/>
    <w:rsid w:val="00AD1E7E"/>
    <w:rsid w:val="00AD1EE8"/>
    <w:rsid w:val="00AD26B9"/>
    <w:rsid w:val="00AD27D4"/>
    <w:rsid w:val="00AD2AF9"/>
    <w:rsid w:val="00AD2BE1"/>
    <w:rsid w:val="00AD304E"/>
    <w:rsid w:val="00AD30C8"/>
    <w:rsid w:val="00AD324D"/>
    <w:rsid w:val="00AD3592"/>
    <w:rsid w:val="00AD37A2"/>
    <w:rsid w:val="00AD37AB"/>
    <w:rsid w:val="00AD38CE"/>
    <w:rsid w:val="00AD3DFA"/>
    <w:rsid w:val="00AD3F73"/>
    <w:rsid w:val="00AD4188"/>
    <w:rsid w:val="00AD46BE"/>
    <w:rsid w:val="00AD476D"/>
    <w:rsid w:val="00AD4DE1"/>
    <w:rsid w:val="00AD4F9F"/>
    <w:rsid w:val="00AD54EB"/>
    <w:rsid w:val="00AD56CC"/>
    <w:rsid w:val="00AD5823"/>
    <w:rsid w:val="00AD58C7"/>
    <w:rsid w:val="00AD590F"/>
    <w:rsid w:val="00AD5927"/>
    <w:rsid w:val="00AD5CC8"/>
    <w:rsid w:val="00AD5F24"/>
    <w:rsid w:val="00AD62D9"/>
    <w:rsid w:val="00AD68E1"/>
    <w:rsid w:val="00AD695D"/>
    <w:rsid w:val="00AD6ACA"/>
    <w:rsid w:val="00AD6AF2"/>
    <w:rsid w:val="00AD6EE0"/>
    <w:rsid w:val="00AD7139"/>
    <w:rsid w:val="00AD7285"/>
    <w:rsid w:val="00AD7435"/>
    <w:rsid w:val="00AD75A2"/>
    <w:rsid w:val="00AD7805"/>
    <w:rsid w:val="00AD78F2"/>
    <w:rsid w:val="00AD7B1F"/>
    <w:rsid w:val="00AD7BCD"/>
    <w:rsid w:val="00AD7D0D"/>
    <w:rsid w:val="00AE0064"/>
    <w:rsid w:val="00AE00BD"/>
    <w:rsid w:val="00AE023F"/>
    <w:rsid w:val="00AE02C3"/>
    <w:rsid w:val="00AE0480"/>
    <w:rsid w:val="00AE0932"/>
    <w:rsid w:val="00AE09F1"/>
    <w:rsid w:val="00AE0B0B"/>
    <w:rsid w:val="00AE0D1C"/>
    <w:rsid w:val="00AE1A6A"/>
    <w:rsid w:val="00AE1C95"/>
    <w:rsid w:val="00AE1F85"/>
    <w:rsid w:val="00AE2202"/>
    <w:rsid w:val="00AE230B"/>
    <w:rsid w:val="00AE25F3"/>
    <w:rsid w:val="00AE267E"/>
    <w:rsid w:val="00AE27E2"/>
    <w:rsid w:val="00AE287B"/>
    <w:rsid w:val="00AE2B01"/>
    <w:rsid w:val="00AE2B23"/>
    <w:rsid w:val="00AE2D36"/>
    <w:rsid w:val="00AE31B9"/>
    <w:rsid w:val="00AE31FD"/>
    <w:rsid w:val="00AE340C"/>
    <w:rsid w:val="00AE36D6"/>
    <w:rsid w:val="00AE380C"/>
    <w:rsid w:val="00AE39DA"/>
    <w:rsid w:val="00AE3A09"/>
    <w:rsid w:val="00AE3B77"/>
    <w:rsid w:val="00AE43C4"/>
    <w:rsid w:val="00AE4444"/>
    <w:rsid w:val="00AE44E4"/>
    <w:rsid w:val="00AE4561"/>
    <w:rsid w:val="00AE4753"/>
    <w:rsid w:val="00AE47C2"/>
    <w:rsid w:val="00AE48B2"/>
    <w:rsid w:val="00AE4BFC"/>
    <w:rsid w:val="00AE4EF4"/>
    <w:rsid w:val="00AE4F48"/>
    <w:rsid w:val="00AE5329"/>
    <w:rsid w:val="00AE54F9"/>
    <w:rsid w:val="00AE5603"/>
    <w:rsid w:val="00AE5A3E"/>
    <w:rsid w:val="00AE5C95"/>
    <w:rsid w:val="00AE60D2"/>
    <w:rsid w:val="00AE611F"/>
    <w:rsid w:val="00AE6209"/>
    <w:rsid w:val="00AE624C"/>
    <w:rsid w:val="00AE6290"/>
    <w:rsid w:val="00AE62AA"/>
    <w:rsid w:val="00AE62D9"/>
    <w:rsid w:val="00AE649A"/>
    <w:rsid w:val="00AE669C"/>
    <w:rsid w:val="00AE66A0"/>
    <w:rsid w:val="00AE6CF4"/>
    <w:rsid w:val="00AE6F73"/>
    <w:rsid w:val="00AE71A4"/>
    <w:rsid w:val="00AE72E3"/>
    <w:rsid w:val="00AE735F"/>
    <w:rsid w:val="00AE7702"/>
    <w:rsid w:val="00AE7932"/>
    <w:rsid w:val="00AE7945"/>
    <w:rsid w:val="00AE7B15"/>
    <w:rsid w:val="00AE7B8D"/>
    <w:rsid w:val="00AE7CEF"/>
    <w:rsid w:val="00AE7DAB"/>
    <w:rsid w:val="00AE7EFA"/>
    <w:rsid w:val="00AE7F95"/>
    <w:rsid w:val="00AF00C7"/>
    <w:rsid w:val="00AF0461"/>
    <w:rsid w:val="00AF04A2"/>
    <w:rsid w:val="00AF05AB"/>
    <w:rsid w:val="00AF0628"/>
    <w:rsid w:val="00AF07D8"/>
    <w:rsid w:val="00AF0A80"/>
    <w:rsid w:val="00AF100C"/>
    <w:rsid w:val="00AF1425"/>
    <w:rsid w:val="00AF14D4"/>
    <w:rsid w:val="00AF1966"/>
    <w:rsid w:val="00AF1D10"/>
    <w:rsid w:val="00AF1D44"/>
    <w:rsid w:val="00AF1DF4"/>
    <w:rsid w:val="00AF1EF4"/>
    <w:rsid w:val="00AF20AD"/>
    <w:rsid w:val="00AF2739"/>
    <w:rsid w:val="00AF27E9"/>
    <w:rsid w:val="00AF2A32"/>
    <w:rsid w:val="00AF2BD9"/>
    <w:rsid w:val="00AF2E2A"/>
    <w:rsid w:val="00AF2F0F"/>
    <w:rsid w:val="00AF3175"/>
    <w:rsid w:val="00AF317B"/>
    <w:rsid w:val="00AF31A0"/>
    <w:rsid w:val="00AF3263"/>
    <w:rsid w:val="00AF33D0"/>
    <w:rsid w:val="00AF3510"/>
    <w:rsid w:val="00AF3B57"/>
    <w:rsid w:val="00AF3BFE"/>
    <w:rsid w:val="00AF3D47"/>
    <w:rsid w:val="00AF3D7C"/>
    <w:rsid w:val="00AF3DC7"/>
    <w:rsid w:val="00AF3DFB"/>
    <w:rsid w:val="00AF4382"/>
    <w:rsid w:val="00AF43B6"/>
    <w:rsid w:val="00AF453F"/>
    <w:rsid w:val="00AF454E"/>
    <w:rsid w:val="00AF459C"/>
    <w:rsid w:val="00AF461E"/>
    <w:rsid w:val="00AF48AE"/>
    <w:rsid w:val="00AF48CF"/>
    <w:rsid w:val="00AF4D3E"/>
    <w:rsid w:val="00AF4EBE"/>
    <w:rsid w:val="00AF4FA4"/>
    <w:rsid w:val="00AF4FB9"/>
    <w:rsid w:val="00AF52DC"/>
    <w:rsid w:val="00AF534C"/>
    <w:rsid w:val="00AF53F2"/>
    <w:rsid w:val="00AF578F"/>
    <w:rsid w:val="00AF588A"/>
    <w:rsid w:val="00AF5986"/>
    <w:rsid w:val="00AF5CD1"/>
    <w:rsid w:val="00AF5E61"/>
    <w:rsid w:val="00AF61C6"/>
    <w:rsid w:val="00AF61F6"/>
    <w:rsid w:val="00AF6293"/>
    <w:rsid w:val="00AF651B"/>
    <w:rsid w:val="00AF65CF"/>
    <w:rsid w:val="00AF6989"/>
    <w:rsid w:val="00AF6A96"/>
    <w:rsid w:val="00AF6C5D"/>
    <w:rsid w:val="00AF6ED9"/>
    <w:rsid w:val="00AF6F16"/>
    <w:rsid w:val="00AF7014"/>
    <w:rsid w:val="00AF72BD"/>
    <w:rsid w:val="00AF7445"/>
    <w:rsid w:val="00AF758A"/>
    <w:rsid w:val="00AF7813"/>
    <w:rsid w:val="00AF7972"/>
    <w:rsid w:val="00AF7A5D"/>
    <w:rsid w:val="00AF7B80"/>
    <w:rsid w:val="00B00017"/>
    <w:rsid w:val="00B00036"/>
    <w:rsid w:val="00B0022C"/>
    <w:rsid w:val="00B0049D"/>
    <w:rsid w:val="00B005AB"/>
    <w:rsid w:val="00B00726"/>
    <w:rsid w:val="00B008A5"/>
    <w:rsid w:val="00B00921"/>
    <w:rsid w:val="00B009AD"/>
    <w:rsid w:val="00B00AA5"/>
    <w:rsid w:val="00B00C64"/>
    <w:rsid w:val="00B01040"/>
    <w:rsid w:val="00B010E9"/>
    <w:rsid w:val="00B014B7"/>
    <w:rsid w:val="00B015A2"/>
    <w:rsid w:val="00B015A7"/>
    <w:rsid w:val="00B01740"/>
    <w:rsid w:val="00B01785"/>
    <w:rsid w:val="00B01B2B"/>
    <w:rsid w:val="00B01B52"/>
    <w:rsid w:val="00B01EF1"/>
    <w:rsid w:val="00B01F45"/>
    <w:rsid w:val="00B01FB5"/>
    <w:rsid w:val="00B02093"/>
    <w:rsid w:val="00B02161"/>
    <w:rsid w:val="00B023A3"/>
    <w:rsid w:val="00B023EA"/>
    <w:rsid w:val="00B0264E"/>
    <w:rsid w:val="00B02652"/>
    <w:rsid w:val="00B026A4"/>
    <w:rsid w:val="00B02941"/>
    <w:rsid w:val="00B02B84"/>
    <w:rsid w:val="00B02DBA"/>
    <w:rsid w:val="00B031D9"/>
    <w:rsid w:val="00B03471"/>
    <w:rsid w:val="00B03734"/>
    <w:rsid w:val="00B03B40"/>
    <w:rsid w:val="00B03E9A"/>
    <w:rsid w:val="00B03F93"/>
    <w:rsid w:val="00B040F7"/>
    <w:rsid w:val="00B042AF"/>
    <w:rsid w:val="00B043C6"/>
    <w:rsid w:val="00B0451B"/>
    <w:rsid w:val="00B0468B"/>
    <w:rsid w:val="00B04699"/>
    <w:rsid w:val="00B04737"/>
    <w:rsid w:val="00B0495D"/>
    <w:rsid w:val="00B04B88"/>
    <w:rsid w:val="00B04C14"/>
    <w:rsid w:val="00B04EA6"/>
    <w:rsid w:val="00B050D6"/>
    <w:rsid w:val="00B052DD"/>
    <w:rsid w:val="00B0557C"/>
    <w:rsid w:val="00B0575E"/>
    <w:rsid w:val="00B05A72"/>
    <w:rsid w:val="00B05B02"/>
    <w:rsid w:val="00B05CAE"/>
    <w:rsid w:val="00B05CB9"/>
    <w:rsid w:val="00B05F7F"/>
    <w:rsid w:val="00B06155"/>
    <w:rsid w:val="00B06222"/>
    <w:rsid w:val="00B06384"/>
    <w:rsid w:val="00B066D9"/>
    <w:rsid w:val="00B069C7"/>
    <w:rsid w:val="00B06C62"/>
    <w:rsid w:val="00B06C97"/>
    <w:rsid w:val="00B06D82"/>
    <w:rsid w:val="00B071B2"/>
    <w:rsid w:val="00B071C8"/>
    <w:rsid w:val="00B072A3"/>
    <w:rsid w:val="00B07358"/>
    <w:rsid w:val="00B073EB"/>
    <w:rsid w:val="00B074FC"/>
    <w:rsid w:val="00B07542"/>
    <w:rsid w:val="00B07553"/>
    <w:rsid w:val="00B07668"/>
    <w:rsid w:val="00B077F7"/>
    <w:rsid w:val="00B07811"/>
    <w:rsid w:val="00B078A5"/>
    <w:rsid w:val="00B0795C"/>
    <w:rsid w:val="00B07A41"/>
    <w:rsid w:val="00B07BCD"/>
    <w:rsid w:val="00B07C6C"/>
    <w:rsid w:val="00B07E50"/>
    <w:rsid w:val="00B100D3"/>
    <w:rsid w:val="00B10330"/>
    <w:rsid w:val="00B103E8"/>
    <w:rsid w:val="00B10524"/>
    <w:rsid w:val="00B1081B"/>
    <w:rsid w:val="00B10977"/>
    <w:rsid w:val="00B10D35"/>
    <w:rsid w:val="00B10D71"/>
    <w:rsid w:val="00B10EFE"/>
    <w:rsid w:val="00B10F4C"/>
    <w:rsid w:val="00B11039"/>
    <w:rsid w:val="00B11391"/>
    <w:rsid w:val="00B11432"/>
    <w:rsid w:val="00B1146D"/>
    <w:rsid w:val="00B114E6"/>
    <w:rsid w:val="00B1177D"/>
    <w:rsid w:val="00B117A8"/>
    <w:rsid w:val="00B1189A"/>
    <w:rsid w:val="00B118A3"/>
    <w:rsid w:val="00B11959"/>
    <w:rsid w:val="00B11C99"/>
    <w:rsid w:val="00B11D88"/>
    <w:rsid w:val="00B12429"/>
    <w:rsid w:val="00B12550"/>
    <w:rsid w:val="00B12AE1"/>
    <w:rsid w:val="00B12B7B"/>
    <w:rsid w:val="00B12FB1"/>
    <w:rsid w:val="00B130E2"/>
    <w:rsid w:val="00B1319D"/>
    <w:rsid w:val="00B13211"/>
    <w:rsid w:val="00B13450"/>
    <w:rsid w:val="00B1346F"/>
    <w:rsid w:val="00B13512"/>
    <w:rsid w:val="00B1357C"/>
    <w:rsid w:val="00B1370E"/>
    <w:rsid w:val="00B1371D"/>
    <w:rsid w:val="00B138BC"/>
    <w:rsid w:val="00B138CB"/>
    <w:rsid w:val="00B1394E"/>
    <w:rsid w:val="00B13A0E"/>
    <w:rsid w:val="00B143FD"/>
    <w:rsid w:val="00B1461A"/>
    <w:rsid w:val="00B15068"/>
    <w:rsid w:val="00B15639"/>
    <w:rsid w:val="00B156FF"/>
    <w:rsid w:val="00B157EB"/>
    <w:rsid w:val="00B15868"/>
    <w:rsid w:val="00B158C6"/>
    <w:rsid w:val="00B15B80"/>
    <w:rsid w:val="00B15D33"/>
    <w:rsid w:val="00B16584"/>
    <w:rsid w:val="00B167CD"/>
    <w:rsid w:val="00B168FB"/>
    <w:rsid w:val="00B1691D"/>
    <w:rsid w:val="00B17155"/>
    <w:rsid w:val="00B17519"/>
    <w:rsid w:val="00B175D3"/>
    <w:rsid w:val="00B1792D"/>
    <w:rsid w:val="00B17A78"/>
    <w:rsid w:val="00B17E42"/>
    <w:rsid w:val="00B17EEA"/>
    <w:rsid w:val="00B200BE"/>
    <w:rsid w:val="00B20168"/>
    <w:rsid w:val="00B2028E"/>
    <w:rsid w:val="00B20490"/>
    <w:rsid w:val="00B204D6"/>
    <w:rsid w:val="00B2053D"/>
    <w:rsid w:val="00B205B4"/>
    <w:rsid w:val="00B206A1"/>
    <w:rsid w:val="00B207AE"/>
    <w:rsid w:val="00B20EDE"/>
    <w:rsid w:val="00B20F14"/>
    <w:rsid w:val="00B212DE"/>
    <w:rsid w:val="00B2133C"/>
    <w:rsid w:val="00B216BD"/>
    <w:rsid w:val="00B21B7D"/>
    <w:rsid w:val="00B21B84"/>
    <w:rsid w:val="00B21D97"/>
    <w:rsid w:val="00B2212A"/>
    <w:rsid w:val="00B22225"/>
    <w:rsid w:val="00B2227F"/>
    <w:rsid w:val="00B2261A"/>
    <w:rsid w:val="00B2270C"/>
    <w:rsid w:val="00B22724"/>
    <w:rsid w:val="00B22939"/>
    <w:rsid w:val="00B22977"/>
    <w:rsid w:val="00B22AF7"/>
    <w:rsid w:val="00B22DAD"/>
    <w:rsid w:val="00B22DDF"/>
    <w:rsid w:val="00B22E95"/>
    <w:rsid w:val="00B22EE3"/>
    <w:rsid w:val="00B232D8"/>
    <w:rsid w:val="00B232EC"/>
    <w:rsid w:val="00B23638"/>
    <w:rsid w:val="00B23782"/>
    <w:rsid w:val="00B237BF"/>
    <w:rsid w:val="00B23895"/>
    <w:rsid w:val="00B238ED"/>
    <w:rsid w:val="00B23B3F"/>
    <w:rsid w:val="00B23CFF"/>
    <w:rsid w:val="00B23ED5"/>
    <w:rsid w:val="00B23F22"/>
    <w:rsid w:val="00B2475A"/>
    <w:rsid w:val="00B248CF"/>
    <w:rsid w:val="00B24907"/>
    <w:rsid w:val="00B2492C"/>
    <w:rsid w:val="00B24A80"/>
    <w:rsid w:val="00B24B77"/>
    <w:rsid w:val="00B24E92"/>
    <w:rsid w:val="00B2516E"/>
    <w:rsid w:val="00B25344"/>
    <w:rsid w:val="00B256CE"/>
    <w:rsid w:val="00B258AB"/>
    <w:rsid w:val="00B259B2"/>
    <w:rsid w:val="00B25C5B"/>
    <w:rsid w:val="00B25C9D"/>
    <w:rsid w:val="00B260DA"/>
    <w:rsid w:val="00B261D4"/>
    <w:rsid w:val="00B261E3"/>
    <w:rsid w:val="00B26214"/>
    <w:rsid w:val="00B2624F"/>
    <w:rsid w:val="00B2640F"/>
    <w:rsid w:val="00B26602"/>
    <w:rsid w:val="00B2663E"/>
    <w:rsid w:val="00B2684A"/>
    <w:rsid w:val="00B26ABC"/>
    <w:rsid w:val="00B26AF7"/>
    <w:rsid w:val="00B26B5A"/>
    <w:rsid w:val="00B26BD2"/>
    <w:rsid w:val="00B26CB8"/>
    <w:rsid w:val="00B26D7D"/>
    <w:rsid w:val="00B26E8A"/>
    <w:rsid w:val="00B26FFF"/>
    <w:rsid w:val="00B27281"/>
    <w:rsid w:val="00B27326"/>
    <w:rsid w:val="00B27456"/>
    <w:rsid w:val="00B27699"/>
    <w:rsid w:val="00B276E5"/>
    <w:rsid w:val="00B27C83"/>
    <w:rsid w:val="00B27D3B"/>
    <w:rsid w:val="00B27DFD"/>
    <w:rsid w:val="00B302FF"/>
    <w:rsid w:val="00B304A7"/>
    <w:rsid w:val="00B305A4"/>
    <w:rsid w:val="00B30660"/>
    <w:rsid w:val="00B30D20"/>
    <w:rsid w:val="00B30D97"/>
    <w:rsid w:val="00B30FB8"/>
    <w:rsid w:val="00B31006"/>
    <w:rsid w:val="00B31008"/>
    <w:rsid w:val="00B311BC"/>
    <w:rsid w:val="00B31223"/>
    <w:rsid w:val="00B31259"/>
    <w:rsid w:val="00B315A6"/>
    <w:rsid w:val="00B31733"/>
    <w:rsid w:val="00B31A63"/>
    <w:rsid w:val="00B31BC0"/>
    <w:rsid w:val="00B31CC2"/>
    <w:rsid w:val="00B31D4C"/>
    <w:rsid w:val="00B31F77"/>
    <w:rsid w:val="00B3214C"/>
    <w:rsid w:val="00B324B8"/>
    <w:rsid w:val="00B32A8D"/>
    <w:rsid w:val="00B32C02"/>
    <w:rsid w:val="00B32DA6"/>
    <w:rsid w:val="00B32EBC"/>
    <w:rsid w:val="00B33174"/>
    <w:rsid w:val="00B33248"/>
    <w:rsid w:val="00B336D3"/>
    <w:rsid w:val="00B33740"/>
    <w:rsid w:val="00B3396B"/>
    <w:rsid w:val="00B33D73"/>
    <w:rsid w:val="00B33E75"/>
    <w:rsid w:val="00B33EF6"/>
    <w:rsid w:val="00B341A7"/>
    <w:rsid w:val="00B34407"/>
    <w:rsid w:val="00B348BA"/>
    <w:rsid w:val="00B34927"/>
    <w:rsid w:val="00B34CD8"/>
    <w:rsid w:val="00B34ED4"/>
    <w:rsid w:val="00B3507C"/>
    <w:rsid w:val="00B350A0"/>
    <w:rsid w:val="00B35715"/>
    <w:rsid w:val="00B35723"/>
    <w:rsid w:val="00B35D17"/>
    <w:rsid w:val="00B35D19"/>
    <w:rsid w:val="00B3600C"/>
    <w:rsid w:val="00B36618"/>
    <w:rsid w:val="00B366DF"/>
    <w:rsid w:val="00B3674D"/>
    <w:rsid w:val="00B36797"/>
    <w:rsid w:val="00B36844"/>
    <w:rsid w:val="00B36A21"/>
    <w:rsid w:val="00B36C3D"/>
    <w:rsid w:val="00B36D19"/>
    <w:rsid w:val="00B36EA4"/>
    <w:rsid w:val="00B37004"/>
    <w:rsid w:val="00B372BD"/>
    <w:rsid w:val="00B37646"/>
    <w:rsid w:val="00B37742"/>
    <w:rsid w:val="00B37745"/>
    <w:rsid w:val="00B378E0"/>
    <w:rsid w:val="00B3795C"/>
    <w:rsid w:val="00B37AB9"/>
    <w:rsid w:val="00B37BA3"/>
    <w:rsid w:val="00B401D5"/>
    <w:rsid w:val="00B40317"/>
    <w:rsid w:val="00B403B5"/>
    <w:rsid w:val="00B403C0"/>
    <w:rsid w:val="00B40433"/>
    <w:rsid w:val="00B40436"/>
    <w:rsid w:val="00B40CC5"/>
    <w:rsid w:val="00B40D6B"/>
    <w:rsid w:val="00B40FE8"/>
    <w:rsid w:val="00B41133"/>
    <w:rsid w:val="00B41135"/>
    <w:rsid w:val="00B41963"/>
    <w:rsid w:val="00B419D2"/>
    <w:rsid w:val="00B41CA2"/>
    <w:rsid w:val="00B41D06"/>
    <w:rsid w:val="00B41E4F"/>
    <w:rsid w:val="00B41E63"/>
    <w:rsid w:val="00B41EB1"/>
    <w:rsid w:val="00B41F48"/>
    <w:rsid w:val="00B41FA2"/>
    <w:rsid w:val="00B4218A"/>
    <w:rsid w:val="00B421B8"/>
    <w:rsid w:val="00B4274C"/>
    <w:rsid w:val="00B42A1A"/>
    <w:rsid w:val="00B42BC4"/>
    <w:rsid w:val="00B42D46"/>
    <w:rsid w:val="00B4307D"/>
    <w:rsid w:val="00B430E9"/>
    <w:rsid w:val="00B43516"/>
    <w:rsid w:val="00B435E9"/>
    <w:rsid w:val="00B435F1"/>
    <w:rsid w:val="00B43966"/>
    <w:rsid w:val="00B43E0F"/>
    <w:rsid w:val="00B43F43"/>
    <w:rsid w:val="00B4402D"/>
    <w:rsid w:val="00B44095"/>
    <w:rsid w:val="00B4411B"/>
    <w:rsid w:val="00B4424C"/>
    <w:rsid w:val="00B442E2"/>
    <w:rsid w:val="00B44457"/>
    <w:rsid w:val="00B44462"/>
    <w:rsid w:val="00B44504"/>
    <w:rsid w:val="00B44613"/>
    <w:rsid w:val="00B446B1"/>
    <w:rsid w:val="00B44A5D"/>
    <w:rsid w:val="00B44B67"/>
    <w:rsid w:val="00B44C25"/>
    <w:rsid w:val="00B44EB2"/>
    <w:rsid w:val="00B45235"/>
    <w:rsid w:val="00B45424"/>
    <w:rsid w:val="00B45916"/>
    <w:rsid w:val="00B4596F"/>
    <w:rsid w:val="00B45B45"/>
    <w:rsid w:val="00B45D49"/>
    <w:rsid w:val="00B45DBE"/>
    <w:rsid w:val="00B462E7"/>
    <w:rsid w:val="00B46314"/>
    <w:rsid w:val="00B46324"/>
    <w:rsid w:val="00B46382"/>
    <w:rsid w:val="00B46869"/>
    <w:rsid w:val="00B46909"/>
    <w:rsid w:val="00B46E01"/>
    <w:rsid w:val="00B4708A"/>
    <w:rsid w:val="00B470BA"/>
    <w:rsid w:val="00B47497"/>
    <w:rsid w:val="00B476D0"/>
    <w:rsid w:val="00B4784A"/>
    <w:rsid w:val="00B479EA"/>
    <w:rsid w:val="00B479F9"/>
    <w:rsid w:val="00B47D2F"/>
    <w:rsid w:val="00B47E4A"/>
    <w:rsid w:val="00B47ED1"/>
    <w:rsid w:val="00B47F15"/>
    <w:rsid w:val="00B50121"/>
    <w:rsid w:val="00B506DC"/>
    <w:rsid w:val="00B50A4F"/>
    <w:rsid w:val="00B50F2E"/>
    <w:rsid w:val="00B50F7D"/>
    <w:rsid w:val="00B512E3"/>
    <w:rsid w:val="00B514C3"/>
    <w:rsid w:val="00B515A7"/>
    <w:rsid w:val="00B515BC"/>
    <w:rsid w:val="00B516D9"/>
    <w:rsid w:val="00B5182D"/>
    <w:rsid w:val="00B51D5F"/>
    <w:rsid w:val="00B51E8A"/>
    <w:rsid w:val="00B51EAB"/>
    <w:rsid w:val="00B51FEB"/>
    <w:rsid w:val="00B52072"/>
    <w:rsid w:val="00B52299"/>
    <w:rsid w:val="00B52301"/>
    <w:rsid w:val="00B523A0"/>
    <w:rsid w:val="00B5263C"/>
    <w:rsid w:val="00B52647"/>
    <w:rsid w:val="00B52690"/>
    <w:rsid w:val="00B5282A"/>
    <w:rsid w:val="00B52A3B"/>
    <w:rsid w:val="00B52C21"/>
    <w:rsid w:val="00B52C42"/>
    <w:rsid w:val="00B52C6B"/>
    <w:rsid w:val="00B52E79"/>
    <w:rsid w:val="00B5313C"/>
    <w:rsid w:val="00B531B2"/>
    <w:rsid w:val="00B532FF"/>
    <w:rsid w:val="00B5347C"/>
    <w:rsid w:val="00B5347E"/>
    <w:rsid w:val="00B53574"/>
    <w:rsid w:val="00B536E4"/>
    <w:rsid w:val="00B537BD"/>
    <w:rsid w:val="00B5381D"/>
    <w:rsid w:val="00B539AC"/>
    <w:rsid w:val="00B53A87"/>
    <w:rsid w:val="00B53B61"/>
    <w:rsid w:val="00B53DD0"/>
    <w:rsid w:val="00B53F3F"/>
    <w:rsid w:val="00B54012"/>
    <w:rsid w:val="00B54371"/>
    <w:rsid w:val="00B543D7"/>
    <w:rsid w:val="00B5453E"/>
    <w:rsid w:val="00B5469F"/>
    <w:rsid w:val="00B547BF"/>
    <w:rsid w:val="00B547C8"/>
    <w:rsid w:val="00B549A0"/>
    <w:rsid w:val="00B54A81"/>
    <w:rsid w:val="00B54B7E"/>
    <w:rsid w:val="00B54E3C"/>
    <w:rsid w:val="00B54EE8"/>
    <w:rsid w:val="00B54FFC"/>
    <w:rsid w:val="00B5513C"/>
    <w:rsid w:val="00B55228"/>
    <w:rsid w:val="00B554A2"/>
    <w:rsid w:val="00B5556F"/>
    <w:rsid w:val="00B5562C"/>
    <w:rsid w:val="00B559B9"/>
    <w:rsid w:val="00B55D9F"/>
    <w:rsid w:val="00B56300"/>
    <w:rsid w:val="00B569CC"/>
    <w:rsid w:val="00B56AF7"/>
    <w:rsid w:val="00B56DAE"/>
    <w:rsid w:val="00B57091"/>
    <w:rsid w:val="00B5713D"/>
    <w:rsid w:val="00B57143"/>
    <w:rsid w:val="00B57200"/>
    <w:rsid w:val="00B57784"/>
    <w:rsid w:val="00B577E8"/>
    <w:rsid w:val="00B579B6"/>
    <w:rsid w:val="00B57A48"/>
    <w:rsid w:val="00B57D66"/>
    <w:rsid w:val="00B57E00"/>
    <w:rsid w:val="00B60002"/>
    <w:rsid w:val="00B601D9"/>
    <w:rsid w:val="00B606CD"/>
    <w:rsid w:val="00B6084A"/>
    <w:rsid w:val="00B60A0B"/>
    <w:rsid w:val="00B60B10"/>
    <w:rsid w:val="00B60E58"/>
    <w:rsid w:val="00B610C3"/>
    <w:rsid w:val="00B612C7"/>
    <w:rsid w:val="00B615A0"/>
    <w:rsid w:val="00B61804"/>
    <w:rsid w:val="00B61A78"/>
    <w:rsid w:val="00B61AEB"/>
    <w:rsid w:val="00B61B37"/>
    <w:rsid w:val="00B61EA9"/>
    <w:rsid w:val="00B61FEE"/>
    <w:rsid w:val="00B622F2"/>
    <w:rsid w:val="00B623DA"/>
    <w:rsid w:val="00B62CA1"/>
    <w:rsid w:val="00B634E3"/>
    <w:rsid w:val="00B6352D"/>
    <w:rsid w:val="00B63A90"/>
    <w:rsid w:val="00B63CBE"/>
    <w:rsid w:val="00B63D6A"/>
    <w:rsid w:val="00B63E10"/>
    <w:rsid w:val="00B6404B"/>
    <w:rsid w:val="00B640AC"/>
    <w:rsid w:val="00B643FC"/>
    <w:rsid w:val="00B644D9"/>
    <w:rsid w:val="00B6450D"/>
    <w:rsid w:val="00B64862"/>
    <w:rsid w:val="00B648D3"/>
    <w:rsid w:val="00B6497D"/>
    <w:rsid w:val="00B64999"/>
    <w:rsid w:val="00B649C0"/>
    <w:rsid w:val="00B64A98"/>
    <w:rsid w:val="00B64C9C"/>
    <w:rsid w:val="00B65053"/>
    <w:rsid w:val="00B653C4"/>
    <w:rsid w:val="00B65459"/>
    <w:rsid w:val="00B65A31"/>
    <w:rsid w:val="00B65A83"/>
    <w:rsid w:val="00B65ADF"/>
    <w:rsid w:val="00B65BBC"/>
    <w:rsid w:val="00B65C49"/>
    <w:rsid w:val="00B65EA8"/>
    <w:rsid w:val="00B65ED1"/>
    <w:rsid w:val="00B65F3D"/>
    <w:rsid w:val="00B66283"/>
    <w:rsid w:val="00B6637D"/>
    <w:rsid w:val="00B664CD"/>
    <w:rsid w:val="00B66543"/>
    <w:rsid w:val="00B6674C"/>
    <w:rsid w:val="00B66A5A"/>
    <w:rsid w:val="00B66C6D"/>
    <w:rsid w:val="00B66CDC"/>
    <w:rsid w:val="00B67044"/>
    <w:rsid w:val="00B67084"/>
    <w:rsid w:val="00B675DE"/>
    <w:rsid w:val="00B6766E"/>
    <w:rsid w:val="00B6776C"/>
    <w:rsid w:val="00B677BB"/>
    <w:rsid w:val="00B678E6"/>
    <w:rsid w:val="00B679F9"/>
    <w:rsid w:val="00B67A5E"/>
    <w:rsid w:val="00B67D9D"/>
    <w:rsid w:val="00B700D3"/>
    <w:rsid w:val="00B701D3"/>
    <w:rsid w:val="00B70657"/>
    <w:rsid w:val="00B706F1"/>
    <w:rsid w:val="00B707F4"/>
    <w:rsid w:val="00B70A1F"/>
    <w:rsid w:val="00B70A56"/>
    <w:rsid w:val="00B70AF7"/>
    <w:rsid w:val="00B70E59"/>
    <w:rsid w:val="00B70ED5"/>
    <w:rsid w:val="00B70F01"/>
    <w:rsid w:val="00B71063"/>
    <w:rsid w:val="00B714C4"/>
    <w:rsid w:val="00B71841"/>
    <w:rsid w:val="00B71842"/>
    <w:rsid w:val="00B71B65"/>
    <w:rsid w:val="00B71BDE"/>
    <w:rsid w:val="00B71CB9"/>
    <w:rsid w:val="00B72031"/>
    <w:rsid w:val="00B7246E"/>
    <w:rsid w:val="00B72620"/>
    <w:rsid w:val="00B72876"/>
    <w:rsid w:val="00B728AD"/>
    <w:rsid w:val="00B72986"/>
    <w:rsid w:val="00B72C41"/>
    <w:rsid w:val="00B72D24"/>
    <w:rsid w:val="00B733D5"/>
    <w:rsid w:val="00B7347A"/>
    <w:rsid w:val="00B7389E"/>
    <w:rsid w:val="00B73B4F"/>
    <w:rsid w:val="00B73D3C"/>
    <w:rsid w:val="00B73F2F"/>
    <w:rsid w:val="00B74285"/>
    <w:rsid w:val="00B7440E"/>
    <w:rsid w:val="00B7450F"/>
    <w:rsid w:val="00B745B6"/>
    <w:rsid w:val="00B7476F"/>
    <w:rsid w:val="00B74CF2"/>
    <w:rsid w:val="00B74E8A"/>
    <w:rsid w:val="00B74F2F"/>
    <w:rsid w:val="00B74F37"/>
    <w:rsid w:val="00B75141"/>
    <w:rsid w:val="00B75361"/>
    <w:rsid w:val="00B75681"/>
    <w:rsid w:val="00B757E8"/>
    <w:rsid w:val="00B75D21"/>
    <w:rsid w:val="00B75DA0"/>
    <w:rsid w:val="00B75E0D"/>
    <w:rsid w:val="00B75F8E"/>
    <w:rsid w:val="00B75FBB"/>
    <w:rsid w:val="00B762B7"/>
    <w:rsid w:val="00B76315"/>
    <w:rsid w:val="00B764E5"/>
    <w:rsid w:val="00B76579"/>
    <w:rsid w:val="00B766B6"/>
    <w:rsid w:val="00B76B76"/>
    <w:rsid w:val="00B76DC7"/>
    <w:rsid w:val="00B76E31"/>
    <w:rsid w:val="00B76F3A"/>
    <w:rsid w:val="00B770FB"/>
    <w:rsid w:val="00B77289"/>
    <w:rsid w:val="00B7793A"/>
    <w:rsid w:val="00B77B6B"/>
    <w:rsid w:val="00B77C98"/>
    <w:rsid w:val="00B77D25"/>
    <w:rsid w:val="00B77DB9"/>
    <w:rsid w:val="00B77E4D"/>
    <w:rsid w:val="00B77E73"/>
    <w:rsid w:val="00B80135"/>
    <w:rsid w:val="00B801A7"/>
    <w:rsid w:val="00B8021D"/>
    <w:rsid w:val="00B80467"/>
    <w:rsid w:val="00B8070A"/>
    <w:rsid w:val="00B8078E"/>
    <w:rsid w:val="00B80846"/>
    <w:rsid w:val="00B80876"/>
    <w:rsid w:val="00B80AA7"/>
    <w:rsid w:val="00B80EE0"/>
    <w:rsid w:val="00B80FA5"/>
    <w:rsid w:val="00B81388"/>
    <w:rsid w:val="00B814A3"/>
    <w:rsid w:val="00B81632"/>
    <w:rsid w:val="00B81A32"/>
    <w:rsid w:val="00B81B97"/>
    <w:rsid w:val="00B81DDB"/>
    <w:rsid w:val="00B81EDB"/>
    <w:rsid w:val="00B82182"/>
    <w:rsid w:val="00B82695"/>
    <w:rsid w:val="00B82797"/>
    <w:rsid w:val="00B828C5"/>
    <w:rsid w:val="00B82C82"/>
    <w:rsid w:val="00B82C8C"/>
    <w:rsid w:val="00B83148"/>
    <w:rsid w:val="00B833D5"/>
    <w:rsid w:val="00B8368F"/>
    <w:rsid w:val="00B838DE"/>
    <w:rsid w:val="00B83950"/>
    <w:rsid w:val="00B839DD"/>
    <w:rsid w:val="00B83F84"/>
    <w:rsid w:val="00B83FBA"/>
    <w:rsid w:val="00B8416F"/>
    <w:rsid w:val="00B84270"/>
    <w:rsid w:val="00B84371"/>
    <w:rsid w:val="00B84429"/>
    <w:rsid w:val="00B84472"/>
    <w:rsid w:val="00B84812"/>
    <w:rsid w:val="00B84978"/>
    <w:rsid w:val="00B84A81"/>
    <w:rsid w:val="00B84D2E"/>
    <w:rsid w:val="00B84D73"/>
    <w:rsid w:val="00B84F4A"/>
    <w:rsid w:val="00B8513B"/>
    <w:rsid w:val="00B8520F"/>
    <w:rsid w:val="00B85357"/>
    <w:rsid w:val="00B853BF"/>
    <w:rsid w:val="00B8557D"/>
    <w:rsid w:val="00B855E2"/>
    <w:rsid w:val="00B856EE"/>
    <w:rsid w:val="00B8573F"/>
    <w:rsid w:val="00B85AD4"/>
    <w:rsid w:val="00B85DF3"/>
    <w:rsid w:val="00B85FBD"/>
    <w:rsid w:val="00B85FE4"/>
    <w:rsid w:val="00B8607B"/>
    <w:rsid w:val="00B8622B"/>
    <w:rsid w:val="00B8655D"/>
    <w:rsid w:val="00B865A7"/>
    <w:rsid w:val="00B8691B"/>
    <w:rsid w:val="00B86A38"/>
    <w:rsid w:val="00B86AA8"/>
    <w:rsid w:val="00B86BEC"/>
    <w:rsid w:val="00B86E6E"/>
    <w:rsid w:val="00B86EBD"/>
    <w:rsid w:val="00B87174"/>
    <w:rsid w:val="00B872B0"/>
    <w:rsid w:val="00B87375"/>
    <w:rsid w:val="00B875BD"/>
    <w:rsid w:val="00B87721"/>
    <w:rsid w:val="00B87829"/>
    <w:rsid w:val="00B879A4"/>
    <w:rsid w:val="00B90356"/>
    <w:rsid w:val="00B903A4"/>
    <w:rsid w:val="00B904B5"/>
    <w:rsid w:val="00B90755"/>
    <w:rsid w:val="00B90CD6"/>
    <w:rsid w:val="00B911F1"/>
    <w:rsid w:val="00B9125E"/>
    <w:rsid w:val="00B91391"/>
    <w:rsid w:val="00B9155E"/>
    <w:rsid w:val="00B915B3"/>
    <w:rsid w:val="00B91740"/>
    <w:rsid w:val="00B917BA"/>
    <w:rsid w:val="00B9199F"/>
    <w:rsid w:val="00B91A39"/>
    <w:rsid w:val="00B91BB6"/>
    <w:rsid w:val="00B91C2E"/>
    <w:rsid w:val="00B91CED"/>
    <w:rsid w:val="00B91F8A"/>
    <w:rsid w:val="00B91FB6"/>
    <w:rsid w:val="00B922F4"/>
    <w:rsid w:val="00B9244A"/>
    <w:rsid w:val="00B925D9"/>
    <w:rsid w:val="00B9270E"/>
    <w:rsid w:val="00B9292E"/>
    <w:rsid w:val="00B92ADD"/>
    <w:rsid w:val="00B92B29"/>
    <w:rsid w:val="00B92C53"/>
    <w:rsid w:val="00B9301A"/>
    <w:rsid w:val="00B9314A"/>
    <w:rsid w:val="00B932FB"/>
    <w:rsid w:val="00B93309"/>
    <w:rsid w:val="00B93656"/>
    <w:rsid w:val="00B93732"/>
    <w:rsid w:val="00B937BD"/>
    <w:rsid w:val="00B93B1E"/>
    <w:rsid w:val="00B93D50"/>
    <w:rsid w:val="00B93E54"/>
    <w:rsid w:val="00B93F3D"/>
    <w:rsid w:val="00B93FDE"/>
    <w:rsid w:val="00B9402B"/>
    <w:rsid w:val="00B942CD"/>
    <w:rsid w:val="00B9436C"/>
    <w:rsid w:val="00B9439F"/>
    <w:rsid w:val="00B9452A"/>
    <w:rsid w:val="00B94597"/>
    <w:rsid w:val="00B9460A"/>
    <w:rsid w:val="00B94689"/>
    <w:rsid w:val="00B94726"/>
    <w:rsid w:val="00B9494F"/>
    <w:rsid w:val="00B94A87"/>
    <w:rsid w:val="00B94BE6"/>
    <w:rsid w:val="00B94C73"/>
    <w:rsid w:val="00B950B0"/>
    <w:rsid w:val="00B9514F"/>
    <w:rsid w:val="00B95235"/>
    <w:rsid w:val="00B95248"/>
    <w:rsid w:val="00B95278"/>
    <w:rsid w:val="00B95348"/>
    <w:rsid w:val="00B953A1"/>
    <w:rsid w:val="00B95539"/>
    <w:rsid w:val="00B9583F"/>
    <w:rsid w:val="00B95975"/>
    <w:rsid w:val="00B95A18"/>
    <w:rsid w:val="00B95B31"/>
    <w:rsid w:val="00B95DA5"/>
    <w:rsid w:val="00B96196"/>
    <w:rsid w:val="00B963CA"/>
    <w:rsid w:val="00B96472"/>
    <w:rsid w:val="00B966CB"/>
    <w:rsid w:val="00B96716"/>
    <w:rsid w:val="00B96AED"/>
    <w:rsid w:val="00B96DF7"/>
    <w:rsid w:val="00B96DFD"/>
    <w:rsid w:val="00B97365"/>
    <w:rsid w:val="00B97425"/>
    <w:rsid w:val="00B978D1"/>
    <w:rsid w:val="00B97E8C"/>
    <w:rsid w:val="00BA0300"/>
    <w:rsid w:val="00BA041E"/>
    <w:rsid w:val="00BA0509"/>
    <w:rsid w:val="00BA05B1"/>
    <w:rsid w:val="00BA060D"/>
    <w:rsid w:val="00BA098C"/>
    <w:rsid w:val="00BA0A4A"/>
    <w:rsid w:val="00BA0B58"/>
    <w:rsid w:val="00BA0D3A"/>
    <w:rsid w:val="00BA0DA5"/>
    <w:rsid w:val="00BA0FD8"/>
    <w:rsid w:val="00BA10E3"/>
    <w:rsid w:val="00BA1254"/>
    <w:rsid w:val="00BA1799"/>
    <w:rsid w:val="00BA17E8"/>
    <w:rsid w:val="00BA18BA"/>
    <w:rsid w:val="00BA1B30"/>
    <w:rsid w:val="00BA1DAD"/>
    <w:rsid w:val="00BA1E1F"/>
    <w:rsid w:val="00BA1E9E"/>
    <w:rsid w:val="00BA1F2B"/>
    <w:rsid w:val="00BA1F37"/>
    <w:rsid w:val="00BA2087"/>
    <w:rsid w:val="00BA225F"/>
    <w:rsid w:val="00BA24D0"/>
    <w:rsid w:val="00BA250E"/>
    <w:rsid w:val="00BA26C3"/>
    <w:rsid w:val="00BA2774"/>
    <w:rsid w:val="00BA2874"/>
    <w:rsid w:val="00BA29C6"/>
    <w:rsid w:val="00BA2A22"/>
    <w:rsid w:val="00BA2A7E"/>
    <w:rsid w:val="00BA2B0C"/>
    <w:rsid w:val="00BA2BD9"/>
    <w:rsid w:val="00BA3005"/>
    <w:rsid w:val="00BA307E"/>
    <w:rsid w:val="00BA3120"/>
    <w:rsid w:val="00BA32AA"/>
    <w:rsid w:val="00BA3469"/>
    <w:rsid w:val="00BA36DF"/>
    <w:rsid w:val="00BA3793"/>
    <w:rsid w:val="00BA3828"/>
    <w:rsid w:val="00BA399E"/>
    <w:rsid w:val="00BA39F9"/>
    <w:rsid w:val="00BA3EB9"/>
    <w:rsid w:val="00BA3F99"/>
    <w:rsid w:val="00BA400F"/>
    <w:rsid w:val="00BA40CA"/>
    <w:rsid w:val="00BA4149"/>
    <w:rsid w:val="00BA41C4"/>
    <w:rsid w:val="00BA4344"/>
    <w:rsid w:val="00BA44FB"/>
    <w:rsid w:val="00BA4699"/>
    <w:rsid w:val="00BA4C0C"/>
    <w:rsid w:val="00BA4C9D"/>
    <w:rsid w:val="00BA4CD5"/>
    <w:rsid w:val="00BA4D27"/>
    <w:rsid w:val="00BA4D93"/>
    <w:rsid w:val="00BA544B"/>
    <w:rsid w:val="00BA5533"/>
    <w:rsid w:val="00BA5662"/>
    <w:rsid w:val="00BA567B"/>
    <w:rsid w:val="00BA56B7"/>
    <w:rsid w:val="00BA583F"/>
    <w:rsid w:val="00BA58A4"/>
    <w:rsid w:val="00BA5B38"/>
    <w:rsid w:val="00BA5C20"/>
    <w:rsid w:val="00BA5C45"/>
    <w:rsid w:val="00BA5D28"/>
    <w:rsid w:val="00BA5DCB"/>
    <w:rsid w:val="00BA5FC2"/>
    <w:rsid w:val="00BA6106"/>
    <w:rsid w:val="00BA6343"/>
    <w:rsid w:val="00BA63D6"/>
    <w:rsid w:val="00BA6590"/>
    <w:rsid w:val="00BA65A0"/>
    <w:rsid w:val="00BA67D8"/>
    <w:rsid w:val="00BA67DD"/>
    <w:rsid w:val="00BA6833"/>
    <w:rsid w:val="00BA6A15"/>
    <w:rsid w:val="00BA6B9D"/>
    <w:rsid w:val="00BA6D47"/>
    <w:rsid w:val="00BA6E4B"/>
    <w:rsid w:val="00BA6EA6"/>
    <w:rsid w:val="00BA6FBE"/>
    <w:rsid w:val="00BA7133"/>
    <w:rsid w:val="00BA74C2"/>
    <w:rsid w:val="00BA7524"/>
    <w:rsid w:val="00BA78C7"/>
    <w:rsid w:val="00BA7BFE"/>
    <w:rsid w:val="00BA7C3E"/>
    <w:rsid w:val="00BA7C52"/>
    <w:rsid w:val="00BA7C97"/>
    <w:rsid w:val="00BA7FCF"/>
    <w:rsid w:val="00BB0358"/>
    <w:rsid w:val="00BB0372"/>
    <w:rsid w:val="00BB03B0"/>
    <w:rsid w:val="00BB0457"/>
    <w:rsid w:val="00BB050E"/>
    <w:rsid w:val="00BB0787"/>
    <w:rsid w:val="00BB085E"/>
    <w:rsid w:val="00BB09B9"/>
    <w:rsid w:val="00BB09ED"/>
    <w:rsid w:val="00BB0A67"/>
    <w:rsid w:val="00BB0CF6"/>
    <w:rsid w:val="00BB0DD0"/>
    <w:rsid w:val="00BB0EFA"/>
    <w:rsid w:val="00BB1131"/>
    <w:rsid w:val="00BB13AE"/>
    <w:rsid w:val="00BB13B7"/>
    <w:rsid w:val="00BB14A9"/>
    <w:rsid w:val="00BB14D1"/>
    <w:rsid w:val="00BB1656"/>
    <w:rsid w:val="00BB17A8"/>
    <w:rsid w:val="00BB1CAB"/>
    <w:rsid w:val="00BB1EEB"/>
    <w:rsid w:val="00BB1F89"/>
    <w:rsid w:val="00BB22A4"/>
    <w:rsid w:val="00BB22BD"/>
    <w:rsid w:val="00BB2340"/>
    <w:rsid w:val="00BB2412"/>
    <w:rsid w:val="00BB25CA"/>
    <w:rsid w:val="00BB282B"/>
    <w:rsid w:val="00BB3066"/>
    <w:rsid w:val="00BB30F8"/>
    <w:rsid w:val="00BB3141"/>
    <w:rsid w:val="00BB328D"/>
    <w:rsid w:val="00BB3465"/>
    <w:rsid w:val="00BB34E5"/>
    <w:rsid w:val="00BB35BB"/>
    <w:rsid w:val="00BB3757"/>
    <w:rsid w:val="00BB3876"/>
    <w:rsid w:val="00BB4118"/>
    <w:rsid w:val="00BB4214"/>
    <w:rsid w:val="00BB432D"/>
    <w:rsid w:val="00BB4351"/>
    <w:rsid w:val="00BB4580"/>
    <w:rsid w:val="00BB45D2"/>
    <w:rsid w:val="00BB4CA4"/>
    <w:rsid w:val="00BB4CAE"/>
    <w:rsid w:val="00BB4E0C"/>
    <w:rsid w:val="00BB5053"/>
    <w:rsid w:val="00BB5301"/>
    <w:rsid w:val="00BB555A"/>
    <w:rsid w:val="00BB5785"/>
    <w:rsid w:val="00BB59D8"/>
    <w:rsid w:val="00BB5B98"/>
    <w:rsid w:val="00BB5BEB"/>
    <w:rsid w:val="00BB5D74"/>
    <w:rsid w:val="00BB5E0F"/>
    <w:rsid w:val="00BB61E8"/>
    <w:rsid w:val="00BB6242"/>
    <w:rsid w:val="00BB643E"/>
    <w:rsid w:val="00BB664B"/>
    <w:rsid w:val="00BB67F9"/>
    <w:rsid w:val="00BB68C5"/>
    <w:rsid w:val="00BB6948"/>
    <w:rsid w:val="00BB69CB"/>
    <w:rsid w:val="00BB6B97"/>
    <w:rsid w:val="00BB6C50"/>
    <w:rsid w:val="00BB6D19"/>
    <w:rsid w:val="00BB6F9B"/>
    <w:rsid w:val="00BB7329"/>
    <w:rsid w:val="00BB7754"/>
    <w:rsid w:val="00BB77EE"/>
    <w:rsid w:val="00BB79B7"/>
    <w:rsid w:val="00BB7AF2"/>
    <w:rsid w:val="00BB7B55"/>
    <w:rsid w:val="00BB7BDF"/>
    <w:rsid w:val="00BB7CEF"/>
    <w:rsid w:val="00BB7DC8"/>
    <w:rsid w:val="00BB7FB9"/>
    <w:rsid w:val="00BC03A3"/>
    <w:rsid w:val="00BC0AAB"/>
    <w:rsid w:val="00BC0B6B"/>
    <w:rsid w:val="00BC0BAE"/>
    <w:rsid w:val="00BC0BE5"/>
    <w:rsid w:val="00BC0CE5"/>
    <w:rsid w:val="00BC0FBD"/>
    <w:rsid w:val="00BC11AA"/>
    <w:rsid w:val="00BC12DA"/>
    <w:rsid w:val="00BC1304"/>
    <w:rsid w:val="00BC14B3"/>
    <w:rsid w:val="00BC1638"/>
    <w:rsid w:val="00BC1706"/>
    <w:rsid w:val="00BC1BAF"/>
    <w:rsid w:val="00BC1BE8"/>
    <w:rsid w:val="00BC1C44"/>
    <w:rsid w:val="00BC1CE6"/>
    <w:rsid w:val="00BC1CF0"/>
    <w:rsid w:val="00BC1D44"/>
    <w:rsid w:val="00BC214F"/>
    <w:rsid w:val="00BC21C0"/>
    <w:rsid w:val="00BC23D3"/>
    <w:rsid w:val="00BC24DE"/>
    <w:rsid w:val="00BC2AFD"/>
    <w:rsid w:val="00BC2C39"/>
    <w:rsid w:val="00BC2DBE"/>
    <w:rsid w:val="00BC31BE"/>
    <w:rsid w:val="00BC334A"/>
    <w:rsid w:val="00BC3547"/>
    <w:rsid w:val="00BC360B"/>
    <w:rsid w:val="00BC3760"/>
    <w:rsid w:val="00BC39A9"/>
    <w:rsid w:val="00BC3B86"/>
    <w:rsid w:val="00BC3D9B"/>
    <w:rsid w:val="00BC3F21"/>
    <w:rsid w:val="00BC44C8"/>
    <w:rsid w:val="00BC4633"/>
    <w:rsid w:val="00BC4856"/>
    <w:rsid w:val="00BC495D"/>
    <w:rsid w:val="00BC4A02"/>
    <w:rsid w:val="00BC4A85"/>
    <w:rsid w:val="00BC4A8A"/>
    <w:rsid w:val="00BC4BB5"/>
    <w:rsid w:val="00BC4EE5"/>
    <w:rsid w:val="00BC5277"/>
    <w:rsid w:val="00BC529B"/>
    <w:rsid w:val="00BC54A1"/>
    <w:rsid w:val="00BC5656"/>
    <w:rsid w:val="00BC57AD"/>
    <w:rsid w:val="00BC5993"/>
    <w:rsid w:val="00BC5A3E"/>
    <w:rsid w:val="00BC5BAF"/>
    <w:rsid w:val="00BC5BD8"/>
    <w:rsid w:val="00BC6084"/>
    <w:rsid w:val="00BC6137"/>
    <w:rsid w:val="00BC627D"/>
    <w:rsid w:val="00BC658D"/>
    <w:rsid w:val="00BC66CA"/>
    <w:rsid w:val="00BC6A11"/>
    <w:rsid w:val="00BC6B27"/>
    <w:rsid w:val="00BC6D0E"/>
    <w:rsid w:val="00BC6E09"/>
    <w:rsid w:val="00BC6FD6"/>
    <w:rsid w:val="00BC7188"/>
    <w:rsid w:val="00BC7504"/>
    <w:rsid w:val="00BC75AB"/>
    <w:rsid w:val="00BC7D73"/>
    <w:rsid w:val="00BC7E91"/>
    <w:rsid w:val="00BD0111"/>
    <w:rsid w:val="00BD02E1"/>
    <w:rsid w:val="00BD05BF"/>
    <w:rsid w:val="00BD0720"/>
    <w:rsid w:val="00BD0945"/>
    <w:rsid w:val="00BD0AD4"/>
    <w:rsid w:val="00BD0BE4"/>
    <w:rsid w:val="00BD0CAC"/>
    <w:rsid w:val="00BD0D06"/>
    <w:rsid w:val="00BD137D"/>
    <w:rsid w:val="00BD142C"/>
    <w:rsid w:val="00BD14EA"/>
    <w:rsid w:val="00BD14F5"/>
    <w:rsid w:val="00BD1906"/>
    <w:rsid w:val="00BD19C1"/>
    <w:rsid w:val="00BD1B84"/>
    <w:rsid w:val="00BD1C95"/>
    <w:rsid w:val="00BD1E01"/>
    <w:rsid w:val="00BD217B"/>
    <w:rsid w:val="00BD2225"/>
    <w:rsid w:val="00BD2244"/>
    <w:rsid w:val="00BD22E8"/>
    <w:rsid w:val="00BD2346"/>
    <w:rsid w:val="00BD2637"/>
    <w:rsid w:val="00BD2AA1"/>
    <w:rsid w:val="00BD2AAD"/>
    <w:rsid w:val="00BD2C52"/>
    <w:rsid w:val="00BD2CC4"/>
    <w:rsid w:val="00BD2D06"/>
    <w:rsid w:val="00BD2EFB"/>
    <w:rsid w:val="00BD325F"/>
    <w:rsid w:val="00BD3280"/>
    <w:rsid w:val="00BD32BC"/>
    <w:rsid w:val="00BD32CA"/>
    <w:rsid w:val="00BD3338"/>
    <w:rsid w:val="00BD3652"/>
    <w:rsid w:val="00BD36C9"/>
    <w:rsid w:val="00BD379C"/>
    <w:rsid w:val="00BD3B26"/>
    <w:rsid w:val="00BD3CA0"/>
    <w:rsid w:val="00BD4000"/>
    <w:rsid w:val="00BD417F"/>
    <w:rsid w:val="00BD43F0"/>
    <w:rsid w:val="00BD45E9"/>
    <w:rsid w:val="00BD49B2"/>
    <w:rsid w:val="00BD4A71"/>
    <w:rsid w:val="00BD4B85"/>
    <w:rsid w:val="00BD4E27"/>
    <w:rsid w:val="00BD4E9A"/>
    <w:rsid w:val="00BD4F1B"/>
    <w:rsid w:val="00BD4F7C"/>
    <w:rsid w:val="00BD5025"/>
    <w:rsid w:val="00BD5148"/>
    <w:rsid w:val="00BD5181"/>
    <w:rsid w:val="00BD567F"/>
    <w:rsid w:val="00BD56E5"/>
    <w:rsid w:val="00BD5717"/>
    <w:rsid w:val="00BD57C5"/>
    <w:rsid w:val="00BD57FD"/>
    <w:rsid w:val="00BD5826"/>
    <w:rsid w:val="00BD5BCF"/>
    <w:rsid w:val="00BD5C0E"/>
    <w:rsid w:val="00BD5C12"/>
    <w:rsid w:val="00BD5C44"/>
    <w:rsid w:val="00BD6295"/>
    <w:rsid w:val="00BD65D0"/>
    <w:rsid w:val="00BD6E15"/>
    <w:rsid w:val="00BD6FA7"/>
    <w:rsid w:val="00BD73DA"/>
    <w:rsid w:val="00BD75BD"/>
    <w:rsid w:val="00BD7645"/>
    <w:rsid w:val="00BD77A8"/>
    <w:rsid w:val="00BD7A5C"/>
    <w:rsid w:val="00BD7A91"/>
    <w:rsid w:val="00BD7B32"/>
    <w:rsid w:val="00BD7BF4"/>
    <w:rsid w:val="00BE0378"/>
    <w:rsid w:val="00BE0383"/>
    <w:rsid w:val="00BE0980"/>
    <w:rsid w:val="00BE0DAA"/>
    <w:rsid w:val="00BE0E63"/>
    <w:rsid w:val="00BE10CA"/>
    <w:rsid w:val="00BE139D"/>
    <w:rsid w:val="00BE1432"/>
    <w:rsid w:val="00BE1886"/>
    <w:rsid w:val="00BE18F4"/>
    <w:rsid w:val="00BE1BF0"/>
    <w:rsid w:val="00BE1C6D"/>
    <w:rsid w:val="00BE1EC8"/>
    <w:rsid w:val="00BE1FE4"/>
    <w:rsid w:val="00BE21A0"/>
    <w:rsid w:val="00BE2261"/>
    <w:rsid w:val="00BE22CA"/>
    <w:rsid w:val="00BE2779"/>
    <w:rsid w:val="00BE2814"/>
    <w:rsid w:val="00BE2880"/>
    <w:rsid w:val="00BE2942"/>
    <w:rsid w:val="00BE2A9D"/>
    <w:rsid w:val="00BE2BC8"/>
    <w:rsid w:val="00BE2CC1"/>
    <w:rsid w:val="00BE2F22"/>
    <w:rsid w:val="00BE30CD"/>
    <w:rsid w:val="00BE30F9"/>
    <w:rsid w:val="00BE3153"/>
    <w:rsid w:val="00BE31CD"/>
    <w:rsid w:val="00BE3522"/>
    <w:rsid w:val="00BE3854"/>
    <w:rsid w:val="00BE3C5B"/>
    <w:rsid w:val="00BE448C"/>
    <w:rsid w:val="00BE47DF"/>
    <w:rsid w:val="00BE4872"/>
    <w:rsid w:val="00BE494A"/>
    <w:rsid w:val="00BE495E"/>
    <w:rsid w:val="00BE49A8"/>
    <w:rsid w:val="00BE5273"/>
    <w:rsid w:val="00BE5386"/>
    <w:rsid w:val="00BE554A"/>
    <w:rsid w:val="00BE557E"/>
    <w:rsid w:val="00BE57F0"/>
    <w:rsid w:val="00BE597F"/>
    <w:rsid w:val="00BE59B6"/>
    <w:rsid w:val="00BE5F4D"/>
    <w:rsid w:val="00BE6309"/>
    <w:rsid w:val="00BE6591"/>
    <w:rsid w:val="00BE67FA"/>
    <w:rsid w:val="00BE683C"/>
    <w:rsid w:val="00BE684E"/>
    <w:rsid w:val="00BE68A3"/>
    <w:rsid w:val="00BE6C3E"/>
    <w:rsid w:val="00BE6F15"/>
    <w:rsid w:val="00BE700B"/>
    <w:rsid w:val="00BE721D"/>
    <w:rsid w:val="00BE7253"/>
    <w:rsid w:val="00BE7322"/>
    <w:rsid w:val="00BE7592"/>
    <w:rsid w:val="00BE7993"/>
    <w:rsid w:val="00BE7C9A"/>
    <w:rsid w:val="00BF0024"/>
    <w:rsid w:val="00BF0313"/>
    <w:rsid w:val="00BF0445"/>
    <w:rsid w:val="00BF092E"/>
    <w:rsid w:val="00BF0A03"/>
    <w:rsid w:val="00BF0C68"/>
    <w:rsid w:val="00BF0CE0"/>
    <w:rsid w:val="00BF0E60"/>
    <w:rsid w:val="00BF1661"/>
    <w:rsid w:val="00BF2314"/>
    <w:rsid w:val="00BF249D"/>
    <w:rsid w:val="00BF2703"/>
    <w:rsid w:val="00BF2D99"/>
    <w:rsid w:val="00BF3099"/>
    <w:rsid w:val="00BF32A7"/>
    <w:rsid w:val="00BF33AD"/>
    <w:rsid w:val="00BF3424"/>
    <w:rsid w:val="00BF3680"/>
    <w:rsid w:val="00BF38AE"/>
    <w:rsid w:val="00BF3974"/>
    <w:rsid w:val="00BF397C"/>
    <w:rsid w:val="00BF3AFD"/>
    <w:rsid w:val="00BF3B42"/>
    <w:rsid w:val="00BF3F09"/>
    <w:rsid w:val="00BF4467"/>
    <w:rsid w:val="00BF44FC"/>
    <w:rsid w:val="00BF47B8"/>
    <w:rsid w:val="00BF47C0"/>
    <w:rsid w:val="00BF481E"/>
    <w:rsid w:val="00BF488F"/>
    <w:rsid w:val="00BF49AA"/>
    <w:rsid w:val="00BF4C0D"/>
    <w:rsid w:val="00BF4CC8"/>
    <w:rsid w:val="00BF4D3A"/>
    <w:rsid w:val="00BF4DEA"/>
    <w:rsid w:val="00BF4E40"/>
    <w:rsid w:val="00BF4E52"/>
    <w:rsid w:val="00BF4E95"/>
    <w:rsid w:val="00BF4EEF"/>
    <w:rsid w:val="00BF506C"/>
    <w:rsid w:val="00BF5238"/>
    <w:rsid w:val="00BF54D5"/>
    <w:rsid w:val="00BF5589"/>
    <w:rsid w:val="00BF5686"/>
    <w:rsid w:val="00BF5775"/>
    <w:rsid w:val="00BF57BF"/>
    <w:rsid w:val="00BF5885"/>
    <w:rsid w:val="00BF5BE0"/>
    <w:rsid w:val="00BF5CB1"/>
    <w:rsid w:val="00BF5D65"/>
    <w:rsid w:val="00BF60EB"/>
    <w:rsid w:val="00BF624E"/>
    <w:rsid w:val="00BF63AA"/>
    <w:rsid w:val="00BF6450"/>
    <w:rsid w:val="00BF648A"/>
    <w:rsid w:val="00BF64B1"/>
    <w:rsid w:val="00BF672A"/>
    <w:rsid w:val="00BF677C"/>
    <w:rsid w:val="00BF69A0"/>
    <w:rsid w:val="00BF6B82"/>
    <w:rsid w:val="00BF6B9E"/>
    <w:rsid w:val="00BF6DCC"/>
    <w:rsid w:val="00BF71C5"/>
    <w:rsid w:val="00BF73F0"/>
    <w:rsid w:val="00BF75D2"/>
    <w:rsid w:val="00BF7695"/>
    <w:rsid w:val="00BF79AE"/>
    <w:rsid w:val="00BF7CE9"/>
    <w:rsid w:val="00BF7DAB"/>
    <w:rsid w:val="00BF7DBA"/>
    <w:rsid w:val="00BF7FD7"/>
    <w:rsid w:val="00C000C8"/>
    <w:rsid w:val="00C000D9"/>
    <w:rsid w:val="00C00318"/>
    <w:rsid w:val="00C007BB"/>
    <w:rsid w:val="00C00A53"/>
    <w:rsid w:val="00C00BC2"/>
    <w:rsid w:val="00C00CB3"/>
    <w:rsid w:val="00C00EA8"/>
    <w:rsid w:val="00C00F32"/>
    <w:rsid w:val="00C00F73"/>
    <w:rsid w:val="00C011E7"/>
    <w:rsid w:val="00C0174D"/>
    <w:rsid w:val="00C017E6"/>
    <w:rsid w:val="00C01838"/>
    <w:rsid w:val="00C019D6"/>
    <w:rsid w:val="00C01B0A"/>
    <w:rsid w:val="00C01D6A"/>
    <w:rsid w:val="00C01D6D"/>
    <w:rsid w:val="00C01F4B"/>
    <w:rsid w:val="00C01F60"/>
    <w:rsid w:val="00C01FD5"/>
    <w:rsid w:val="00C02245"/>
    <w:rsid w:val="00C02397"/>
    <w:rsid w:val="00C024A1"/>
    <w:rsid w:val="00C02A0A"/>
    <w:rsid w:val="00C02BB7"/>
    <w:rsid w:val="00C02C3F"/>
    <w:rsid w:val="00C02CB9"/>
    <w:rsid w:val="00C02EFD"/>
    <w:rsid w:val="00C02F87"/>
    <w:rsid w:val="00C02FE0"/>
    <w:rsid w:val="00C0312B"/>
    <w:rsid w:val="00C033BE"/>
    <w:rsid w:val="00C035D6"/>
    <w:rsid w:val="00C0372D"/>
    <w:rsid w:val="00C03912"/>
    <w:rsid w:val="00C0398A"/>
    <w:rsid w:val="00C039BF"/>
    <w:rsid w:val="00C03B9D"/>
    <w:rsid w:val="00C03BA5"/>
    <w:rsid w:val="00C03CD2"/>
    <w:rsid w:val="00C03EA6"/>
    <w:rsid w:val="00C040BE"/>
    <w:rsid w:val="00C041E8"/>
    <w:rsid w:val="00C0420E"/>
    <w:rsid w:val="00C0477E"/>
    <w:rsid w:val="00C0487C"/>
    <w:rsid w:val="00C04DA3"/>
    <w:rsid w:val="00C04FDF"/>
    <w:rsid w:val="00C051C1"/>
    <w:rsid w:val="00C052D9"/>
    <w:rsid w:val="00C0544B"/>
    <w:rsid w:val="00C05487"/>
    <w:rsid w:val="00C0554C"/>
    <w:rsid w:val="00C05607"/>
    <w:rsid w:val="00C05A12"/>
    <w:rsid w:val="00C05B73"/>
    <w:rsid w:val="00C05C6B"/>
    <w:rsid w:val="00C05D05"/>
    <w:rsid w:val="00C05D3F"/>
    <w:rsid w:val="00C05E88"/>
    <w:rsid w:val="00C0638A"/>
    <w:rsid w:val="00C063C8"/>
    <w:rsid w:val="00C06475"/>
    <w:rsid w:val="00C064CB"/>
    <w:rsid w:val="00C066FA"/>
    <w:rsid w:val="00C0685E"/>
    <w:rsid w:val="00C06D01"/>
    <w:rsid w:val="00C06FB0"/>
    <w:rsid w:val="00C071D8"/>
    <w:rsid w:val="00C07827"/>
    <w:rsid w:val="00C07A7C"/>
    <w:rsid w:val="00C07EC9"/>
    <w:rsid w:val="00C07EFA"/>
    <w:rsid w:val="00C1001D"/>
    <w:rsid w:val="00C1011B"/>
    <w:rsid w:val="00C10305"/>
    <w:rsid w:val="00C10441"/>
    <w:rsid w:val="00C1045C"/>
    <w:rsid w:val="00C10467"/>
    <w:rsid w:val="00C10665"/>
    <w:rsid w:val="00C1070F"/>
    <w:rsid w:val="00C107BE"/>
    <w:rsid w:val="00C10A93"/>
    <w:rsid w:val="00C10B64"/>
    <w:rsid w:val="00C10E3D"/>
    <w:rsid w:val="00C10F30"/>
    <w:rsid w:val="00C1126A"/>
    <w:rsid w:val="00C11373"/>
    <w:rsid w:val="00C11584"/>
    <w:rsid w:val="00C116B3"/>
    <w:rsid w:val="00C11A7B"/>
    <w:rsid w:val="00C11DA1"/>
    <w:rsid w:val="00C11DAE"/>
    <w:rsid w:val="00C12135"/>
    <w:rsid w:val="00C122F0"/>
    <w:rsid w:val="00C124AA"/>
    <w:rsid w:val="00C1257B"/>
    <w:rsid w:val="00C126B7"/>
    <w:rsid w:val="00C127F0"/>
    <w:rsid w:val="00C12826"/>
    <w:rsid w:val="00C12A24"/>
    <w:rsid w:val="00C12B67"/>
    <w:rsid w:val="00C12BC7"/>
    <w:rsid w:val="00C134C8"/>
    <w:rsid w:val="00C13747"/>
    <w:rsid w:val="00C137F8"/>
    <w:rsid w:val="00C1391B"/>
    <w:rsid w:val="00C13925"/>
    <w:rsid w:val="00C13EFD"/>
    <w:rsid w:val="00C14095"/>
    <w:rsid w:val="00C14147"/>
    <w:rsid w:val="00C141BA"/>
    <w:rsid w:val="00C14231"/>
    <w:rsid w:val="00C142E6"/>
    <w:rsid w:val="00C14319"/>
    <w:rsid w:val="00C143DA"/>
    <w:rsid w:val="00C144F8"/>
    <w:rsid w:val="00C14585"/>
    <w:rsid w:val="00C146DB"/>
    <w:rsid w:val="00C1496A"/>
    <w:rsid w:val="00C14A09"/>
    <w:rsid w:val="00C14AF2"/>
    <w:rsid w:val="00C14C23"/>
    <w:rsid w:val="00C14D3D"/>
    <w:rsid w:val="00C15031"/>
    <w:rsid w:val="00C150D5"/>
    <w:rsid w:val="00C157A4"/>
    <w:rsid w:val="00C15819"/>
    <w:rsid w:val="00C15BBC"/>
    <w:rsid w:val="00C15CA8"/>
    <w:rsid w:val="00C15F7D"/>
    <w:rsid w:val="00C1661B"/>
    <w:rsid w:val="00C16900"/>
    <w:rsid w:val="00C16960"/>
    <w:rsid w:val="00C16BDE"/>
    <w:rsid w:val="00C16D2C"/>
    <w:rsid w:val="00C16D46"/>
    <w:rsid w:val="00C1729E"/>
    <w:rsid w:val="00C173E7"/>
    <w:rsid w:val="00C17483"/>
    <w:rsid w:val="00C1750D"/>
    <w:rsid w:val="00C179B1"/>
    <w:rsid w:val="00C17BDF"/>
    <w:rsid w:val="00C17BE7"/>
    <w:rsid w:val="00C17C1C"/>
    <w:rsid w:val="00C17EFC"/>
    <w:rsid w:val="00C17FB9"/>
    <w:rsid w:val="00C20022"/>
    <w:rsid w:val="00C200DE"/>
    <w:rsid w:val="00C202E4"/>
    <w:rsid w:val="00C203A3"/>
    <w:rsid w:val="00C20473"/>
    <w:rsid w:val="00C2053E"/>
    <w:rsid w:val="00C205B2"/>
    <w:rsid w:val="00C20CA3"/>
    <w:rsid w:val="00C20D84"/>
    <w:rsid w:val="00C20FB2"/>
    <w:rsid w:val="00C20FEE"/>
    <w:rsid w:val="00C21401"/>
    <w:rsid w:val="00C21567"/>
    <w:rsid w:val="00C21664"/>
    <w:rsid w:val="00C216F2"/>
    <w:rsid w:val="00C21B1C"/>
    <w:rsid w:val="00C21BF2"/>
    <w:rsid w:val="00C22031"/>
    <w:rsid w:val="00C225DA"/>
    <w:rsid w:val="00C22700"/>
    <w:rsid w:val="00C22702"/>
    <w:rsid w:val="00C229AD"/>
    <w:rsid w:val="00C22A3F"/>
    <w:rsid w:val="00C22B15"/>
    <w:rsid w:val="00C22BA3"/>
    <w:rsid w:val="00C22C1F"/>
    <w:rsid w:val="00C22CBE"/>
    <w:rsid w:val="00C22CDB"/>
    <w:rsid w:val="00C22CE4"/>
    <w:rsid w:val="00C22D51"/>
    <w:rsid w:val="00C22D92"/>
    <w:rsid w:val="00C22EEF"/>
    <w:rsid w:val="00C22F4D"/>
    <w:rsid w:val="00C23048"/>
    <w:rsid w:val="00C2337B"/>
    <w:rsid w:val="00C233BB"/>
    <w:rsid w:val="00C23CDC"/>
    <w:rsid w:val="00C23D85"/>
    <w:rsid w:val="00C23E02"/>
    <w:rsid w:val="00C23E70"/>
    <w:rsid w:val="00C23EF7"/>
    <w:rsid w:val="00C2412C"/>
    <w:rsid w:val="00C241A1"/>
    <w:rsid w:val="00C244A8"/>
    <w:rsid w:val="00C24556"/>
    <w:rsid w:val="00C2469F"/>
    <w:rsid w:val="00C249AA"/>
    <w:rsid w:val="00C249EC"/>
    <w:rsid w:val="00C24DC2"/>
    <w:rsid w:val="00C250F5"/>
    <w:rsid w:val="00C2524C"/>
    <w:rsid w:val="00C25285"/>
    <w:rsid w:val="00C2542A"/>
    <w:rsid w:val="00C25488"/>
    <w:rsid w:val="00C25601"/>
    <w:rsid w:val="00C25D32"/>
    <w:rsid w:val="00C25D57"/>
    <w:rsid w:val="00C2606D"/>
    <w:rsid w:val="00C26136"/>
    <w:rsid w:val="00C261F6"/>
    <w:rsid w:val="00C265B5"/>
    <w:rsid w:val="00C2661C"/>
    <w:rsid w:val="00C26E80"/>
    <w:rsid w:val="00C26F61"/>
    <w:rsid w:val="00C26FCB"/>
    <w:rsid w:val="00C27030"/>
    <w:rsid w:val="00C27131"/>
    <w:rsid w:val="00C271A3"/>
    <w:rsid w:val="00C2724F"/>
    <w:rsid w:val="00C27621"/>
    <w:rsid w:val="00C276F6"/>
    <w:rsid w:val="00C277BC"/>
    <w:rsid w:val="00C27A2F"/>
    <w:rsid w:val="00C27B36"/>
    <w:rsid w:val="00C30163"/>
    <w:rsid w:val="00C302DD"/>
    <w:rsid w:val="00C304A0"/>
    <w:rsid w:val="00C30520"/>
    <w:rsid w:val="00C309F2"/>
    <w:rsid w:val="00C30DA5"/>
    <w:rsid w:val="00C30F4B"/>
    <w:rsid w:val="00C311FD"/>
    <w:rsid w:val="00C31356"/>
    <w:rsid w:val="00C3138A"/>
    <w:rsid w:val="00C313D7"/>
    <w:rsid w:val="00C314CB"/>
    <w:rsid w:val="00C31577"/>
    <w:rsid w:val="00C317DF"/>
    <w:rsid w:val="00C31923"/>
    <w:rsid w:val="00C31D2A"/>
    <w:rsid w:val="00C31D7F"/>
    <w:rsid w:val="00C31E6C"/>
    <w:rsid w:val="00C31E9D"/>
    <w:rsid w:val="00C31F0E"/>
    <w:rsid w:val="00C32146"/>
    <w:rsid w:val="00C324BC"/>
    <w:rsid w:val="00C324DC"/>
    <w:rsid w:val="00C324E5"/>
    <w:rsid w:val="00C32533"/>
    <w:rsid w:val="00C3280A"/>
    <w:rsid w:val="00C32A69"/>
    <w:rsid w:val="00C32A6F"/>
    <w:rsid w:val="00C32C09"/>
    <w:rsid w:val="00C32E3F"/>
    <w:rsid w:val="00C3336B"/>
    <w:rsid w:val="00C33404"/>
    <w:rsid w:val="00C338D8"/>
    <w:rsid w:val="00C33A02"/>
    <w:rsid w:val="00C33E6A"/>
    <w:rsid w:val="00C33EEE"/>
    <w:rsid w:val="00C34516"/>
    <w:rsid w:val="00C3455C"/>
    <w:rsid w:val="00C345C1"/>
    <w:rsid w:val="00C346CA"/>
    <w:rsid w:val="00C346FB"/>
    <w:rsid w:val="00C348B6"/>
    <w:rsid w:val="00C34ADC"/>
    <w:rsid w:val="00C34B73"/>
    <w:rsid w:val="00C352E2"/>
    <w:rsid w:val="00C3533B"/>
    <w:rsid w:val="00C35414"/>
    <w:rsid w:val="00C35572"/>
    <w:rsid w:val="00C3570F"/>
    <w:rsid w:val="00C3584F"/>
    <w:rsid w:val="00C3602A"/>
    <w:rsid w:val="00C360AD"/>
    <w:rsid w:val="00C361EF"/>
    <w:rsid w:val="00C3662D"/>
    <w:rsid w:val="00C3688E"/>
    <w:rsid w:val="00C368B4"/>
    <w:rsid w:val="00C369ED"/>
    <w:rsid w:val="00C36EAD"/>
    <w:rsid w:val="00C36F0A"/>
    <w:rsid w:val="00C36F87"/>
    <w:rsid w:val="00C36F9F"/>
    <w:rsid w:val="00C37103"/>
    <w:rsid w:val="00C37212"/>
    <w:rsid w:val="00C373FC"/>
    <w:rsid w:val="00C37480"/>
    <w:rsid w:val="00C3760A"/>
    <w:rsid w:val="00C37794"/>
    <w:rsid w:val="00C3790E"/>
    <w:rsid w:val="00C37AA5"/>
    <w:rsid w:val="00C4000D"/>
    <w:rsid w:val="00C40229"/>
    <w:rsid w:val="00C405A5"/>
    <w:rsid w:val="00C405D6"/>
    <w:rsid w:val="00C40738"/>
    <w:rsid w:val="00C409A5"/>
    <w:rsid w:val="00C40A20"/>
    <w:rsid w:val="00C40C11"/>
    <w:rsid w:val="00C40D69"/>
    <w:rsid w:val="00C40F52"/>
    <w:rsid w:val="00C40F88"/>
    <w:rsid w:val="00C41190"/>
    <w:rsid w:val="00C41216"/>
    <w:rsid w:val="00C41503"/>
    <w:rsid w:val="00C415B3"/>
    <w:rsid w:val="00C419AD"/>
    <w:rsid w:val="00C419BF"/>
    <w:rsid w:val="00C41A48"/>
    <w:rsid w:val="00C41DA2"/>
    <w:rsid w:val="00C41E8D"/>
    <w:rsid w:val="00C42053"/>
    <w:rsid w:val="00C4219C"/>
    <w:rsid w:val="00C42456"/>
    <w:rsid w:val="00C42551"/>
    <w:rsid w:val="00C4260E"/>
    <w:rsid w:val="00C428BE"/>
    <w:rsid w:val="00C42AC3"/>
    <w:rsid w:val="00C42CC7"/>
    <w:rsid w:val="00C42D70"/>
    <w:rsid w:val="00C4307D"/>
    <w:rsid w:val="00C430B2"/>
    <w:rsid w:val="00C430B9"/>
    <w:rsid w:val="00C4310B"/>
    <w:rsid w:val="00C4311F"/>
    <w:rsid w:val="00C43142"/>
    <w:rsid w:val="00C431E1"/>
    <w:rsid w:val="00C433AA"/>
    <w:rsid w:val="00C43AD2"/>
    <w:rsid w:val="00C43AFB"/>
    <w:rsid w:val="00C43C9F"/>
    <w:rsid w:val="00C43DA1"/>
    <w:rsid w:val="00C43F4E"/>
    <w:rsid w:val="00C43F75"/>
    <w:rsid w:val="00C44288"/>
    <w:rsid w:val="00C4429F"/>
    <w:rsid w:val="00C44715"/>
    <w:rsid w:val="00C44811"/>
    <w:rsid w:val="00C4481C"/>
    <w:rsid w:val="00C448B9"/>
    <w:rsid w:val="00C448F0"/>
    <w:rsid w:val="00C44C87"/>
    <w:rsid w:val="00C44D88"/>
    <w:rsid w:val="00C453CA"/>
    <w:rsid w:val="00C455C5"/>
    <w:rsid w:val="00C456D6"/>
    <w:rsid w:val="00C45741"/>
    <w:rsid w:val="00C459EA"/>
    <w:rsid w:val="00C45E25"/>
    <w:rsid w:val="00C45E38"/>
    <w:rsid w:val="00C45FDD"/>
    <w:rsid w:val="00C4602F"/>
    <w:rsid w:val="00C4628E"/>
    <w:rsid w:val="00C464F4"/>
    <w:rsid w:val="00C46588"/>
    <w:rsid w:val="00C4664D"/>
    <w:rsid w:val="00C4668D"/>
    <w:rsid w:val="00C4697F"/>
    <w:rsid w:val="00C46A15"/>
    <w:rsid w:val="00C46AFE"/>
    <w:rsid w:val="00C46B5C"/>
    <w:rsid w:val="00C46B9E"/>
    <w:rsid w:val="00C46F8C"/>
    <w:rsid w:val="00C47208"/>
    <w:rsid w:val="00C47593"/>
    <w:rsid w:val="00C476E2"/>
    <w:rsid w:val="00C47725"/>
    <w:rsid w:val="00C4786E"/>
    <w:rsid w:val="00C47A05"/>
    <w:rsid w:val="00C47AD0"/>
    <w:rsid w:val="00C47B0A"/>
    <w:rsid w:val="00C47B8D"/>
    <w:rsid w:val="00C47BE8"/>
    <w:rsid w:val="00C47CEF"/>
    <w:rsid w:val="00C47E2A"/>
    <w:rsid w:val="00C501D6"/>
    <w:rsid w:val="00C50334"/>
    <w:rsid w:val="00C50C88"/>
    <w:rsid w:val="00C50D48"/>
    <w:rsid w:val="00C50FCE"/>
    <w:rsid w:val="00C5114B"/>
    <w:rsid w:val="00C51158"/>
    <w:rsid w:val="00C5131E"/>
    <w:rsid w:val="00C51543"/>
    <w:rsid w:val="00C51940"/>
    <w:rsid w:val="00C51996"/>
    <w:rsid w:val="00C51BF7"/>
    <w:rsid w:val="00C51C0F"/>
    <w:rsid w:val="00C51C43"/>
    <w:rsid w:val="00C51CF6"/>
    <w:rsid w:val="00C51E00"/>
    <w:rsid w:val="00C51FE4"/>
    <w:rsid w:val="00C52049"/>
    <w:rsid w:val="00C52050"/>
    <w:rsid w:val="00C52272"/>
    <w:rsid w:val="00C522E3"/>
    <w:rsid w:val="00C52454"/>
    <w:rsid w:val="00C525FE"/>
    <w:rsid w:val="00C5277C"/>
    <w:rsid w:val="00C527F2"/>
    <w:rsid w:val="00C52BAA"/>
    <w:rsid w:val="00C52C35"/>
    <w:rsid w:val="00C52DD7"/>
    <w:rsid w:val="00C52F83"/>
    <w:rsid w:val="00C5313A"/>
    <w:rsid w:val="00C53169"/>
    <w:rsid w:val="00C531A3"/>
    <w:rsid w:val="00C533D6"/>
    <w:rsid w:val="00C53CF4"/>
    <w:rsid w:val="00C53E28"/>
    <w:rsid w:val="00C53F9D"/>
    <w:rsid w:val="00C5423E"/>
    <w:rsid w:val="00C542EE"/>
    <w:rsid w:val="00C5490F"/>
    <w:rsid w:val="00C54B0A"/>
    <w:rsid w:val="00C54B86"/>
    <w:rsid w:val="00C54BF9"/>
    <w:rsid w:val="00C54D55"/>
    <w:rsid w:val="00C54F5A"/>
    <w:rsid w:val="00C5514F"/>
    <w:rsid w:val="00C551E9"/>
    <w:rsid w:val="00C55496"/>
    <w:rsid w:val="00C555B4"/>
    <w:rsid w:val="00C55970"/>
    <w:rsid w:val="00C55A82"/>
    <w:rsid w:val="00C55FDF"/>
    <w:rsid w:val="00C564B5"/>
    <w:rsid w:val="00C564B6"/>
    <w:rsid w:val="00C56640"/>
    <w:rsid w:val="00C568A0"/>
    <w:rsid w:val="00C5697F"/>
    <w:rsid w:val="00C56997"/>
    <w:rsid w:val="00C56DEA"/>
    <w:rsid w:val="00C56F12"/>
    <w:rsid w:val="00C5728E"/>
    <w:rsid w:val="00C572AD"/>
    <w:rsid w:val="00C5745C"/>
    <w:rsid w:val="00C575A4"/>
    <w:rsid w:val="00C5784B"/>
    <w:rsid w:val="00C578C4"/>
    <w:rsid w:val="00C57DAB"/>
    <w:rsid w:val="00C57DE8"/>
    <w:rsid w:val="00C601A3"/>
    <w:rsid w:val="00C602C2"/>
    <w:rsid w:val="00C60311"/>
    <w:rsid w:val="00C606C4"/>
    <w:rsid w:val="00C607BB"/>
    <w:rsid w:val="00C60DBC"/>
    <w:rsid w:val="00C610A1"/>
    <w:rsid w:val="00C612EF"/>
    <w:rsid w:val="00C616AE"/>
    <w:rsid w:val="00C6172D"/>
    <w:rsid w:val="00C617E9"/>
    <w:rsid w:val="00C61B87"/>
    <w:rsid w:val="00C61BF6"/>
    <w:rsid w:val="00C61CA6"/>
    <w:rsid w:val="00C61E07"/>
    <w:rsid w:val="00C62085"/>
    <w:rsid w:val="00C62133"/>
    <w:rsid w:val="00C6236B"/>
    <w:rsid w:val="00C624ED"/>
    <w:rsid w:val="00C6274B"/>
    <w:rsid w:val="00C62756"/>
    <w:rsid w:val="00C6288E"/>
    <w:rsid w:val="00C62BD2"/>
    <w:rsid w:val="00C62EC7"/>
    <w:rsid w:val="00C62F72"/>
    <w:rsid w:val="00C630B3"/>
    <w:rsid w:val="00C6337F"/>
    <w:rsid w:val="00C63628"/>
    <w:rsid w:val="00C636B4"/>
    <w:rsid w:val="00C63781"/>
    <w:rsid w:val="00C63A9E"/>
    <w:rsid w:val="00C63B02"/>
    <w:rsid w:val="00C641FA"/>
    <w:rsid w:val="00C64270"/>
    <w:rsid w:val="00C64346"/>
    <w:rsid w:val="00C646FE"/>
    <w:rsid w:val="00C654AC"/>
    <w:rsid w:val="00C658B3"/>
    <w:rsid w:val="00C658DF"/>
    <w:rsid w:val="00C65C5B"/>
    <w:rsid w:val="00C65D39"/>
    <w:rsid w:val="00C65EAA"/>
    <w:rsid w:val="00C65F78"/>
    <w:rsid w:val="00C660EF"/>
    <w:rsid w:val="00C66227"/>
    <w:rsid w:val="00C66424"/>
    <w:rsid w:val="00C6643F"/>
    <w:rsid w:val="00C6645B"/>
    <w:rsid w:val="00C664C7"/>
    <w:rsid w:val="00C665F4"/>
    <w:rsid w:val="00C666B4"/>
    <w:rsid w:val="00C66E09"/>
    <w:rsid w:val="00C672D2"/>
    <w:rsid w:val="00C672FD"/>
    <w:rsid w:val="00C67788"/>
    <w:rsid w:val="00C677B4"/>
    <w:rsid w:val="00C6789C"/>
    <w:rsid w:val="00C679C4"/>
    <w:rsid w:val="00C679C8"/>
    <w:rsid w:val="00C679E7"/>
    <w:rsid w:val="00C67AAF"/>
    <w:rsid w:val="00C67EBD"/>
    <w:rsid w:val="00C70289"/>
    <w:rsid w:val="00C70385"/>
    <w:rsid w:val="00C70578"/>
    <w:rsid w:val="00C708E8"/>
    <w:rsid w:val="00C70D65"/>
    <w:rsid w:val="00C70E94"/>
    <w:rsid w:val="00C70F84"/>
    <w:rsid w:val="00C70FCA"/>
    <w:rsid w:val="00C7131B"/>
    <w:rsid w:val="00C71654"/>
    <w:rsid w:val="00C71A18"/>
    <w:rsid w:val="00C71AE9"/>
    <w:rsid w:val="00C71C36"/>
    <w:rsid w:val="00C71E8E"/>
    <w:rsid w:val="00C71F35"/>
    <w:rsid w:val="00C71F65"/>
    <w:rsid w:val="00C72129"/>
    <w:rsid w:val="00C721C2"/>
    <w:rsid w:val="00C721E0"/>
    <w:rsid w:val="00C725EB"/>
    <w:rsid w:val="00C7273C"/>
    <w:rsid w:val="00C729FE"/>
    <w:rsid w:val="00C72A24"/>
    <w:rsid w:val="00C72C50"/>
    <w:rsid w:val="00C72F09"/>
    <w:rsid w:val="00C7309E"/>
    <w:rsid w:val="00C732D6"/>
    <w:rsid w:val="00C733E2"/>
    <w:rsid w:val="00C73470"/>
    <w:rsid w:val="00C7354E"/>
    <w:rsid w:val="00C739E7"/>
    <w:rsid w:val="00C73A32"/>
    <w:rsid w:val="00C741B4"/>
    <w:rsid w:val="00C7439A"/>
    <w:rsid w:val="00C743CD"/>
    <w:rsid w:val="00C74519"/>
    <w:rsid w:val="00C7456A"/>
    <w:rsid w:val="00C745DE"/>
    <w:rsid w:val="00C74618"/>
    <w:rsid w:val="00C7478F"/>
    <w:rsid w:val="00C747CE"/>
    <w:rsid w:val="00C7496B"/>
    <w:rsid w:val="00C74A27"/>
    <w:rsid w:val="00C74CA3"/>
    <w:rsid w:val="00C75492"/>
    <w:rsid w:val="00C754B8"/>
    <w:rsid w:val="00C754E4"/>
    <w:rsid w:val="00C75A8C"/>
    <w:rsid w:val="00C75B83"/>
    <w:rsid w:val="00C75BC9"/>
    <w:rsid w:val="00C75CE0"/>
    <w:rsid w:val="00C75D56"/>
    <w:rsid w:val="00C75ED0"/>
    <w:rsid w:val="00C75EF0"/>
    <w:rsid w:val="00C75F86"/>
    <w:rsid w:val="00C76113"/>
    <w:rsid w:val="00C76153"/>
    <w:rsid w:val="00C7621B"/>
    <w:rsid w:val="00C76300"/>
    <w:rsid w:val="00C7633A"/>
    <w:rsid w:val="00C76340"/>
    <w:rsid w:val="00C7635F"/>
    <w:rsid w:val="00C76403"/>
    <w:rsid w:val="00C7652A"/>
    <w:rsid w:val="00C766A9"/>
    <w:rsid w:val="00C76B3E"/>
    <w:rsid w:val="00C76B56"/>
    <w:rsid w:val="00C76B7F"/>
    <w:rsid w:val="00C76E83"/>
    <w:rsid w:val="00C76F06"/>
    <w:rsid w:val="00C77139"/>
    <w:rsid w:val="00C77225"/>
    <w:rsid w:val="00C773A8"/>
    <w:rsid w:val="00C7753F"/>
    <w:rsid w:val="00C77B84"/>
    <w:rsid w:val="00C77CC3"/>
    <w:rsid w:val="00C77D5C"/>
    <w:rsid w:val="00C77D94"/>
    <w:rsid w:val="00C77DE9"/>
    <w:rsid w:val="00C80026"/>
    <w:rsid w:val="00C801D7"/>
    <w:rsid w:val="00C80254"/>
    <w:rsid w:val="00C809D3"/>
    <w:rsid w:val="00C80A3F"/>
    <w:rsid w:val="00C80B36"/>
    <w:rsid w:val="00C80D52"/>
    <w:rsid w:val="00C80EC1"/>
    <w:rsid w:val="00C8153F"/>
    <w:rsid w:val="00C81701"/>
    <w:rsid w:val="00C81769"/>
    <w:rsid w:val="00C817D4"/>
    <w:rsid w:val="00C819C0"/>
    <w:rsid w:val="00C81A6C"/>
    <w:rsid w:val="00C81C2E"/>
    <w:rsid w:val="00C81D13"/>
    <w:rsid w:val="00C81D80"/>
    <w:rsid w:val="00C8210D"/>
    <w:rsid w:val="00C82222"/>
    <w:rsid w:val="00C82235"/>
    <w:rsid w:val="00C82672"/>
    <w:rsid w:val="00C82A06"/>
    <w:rsid w:val="00C82DC1"/>
    <w:rsid w:val="00C8317D"/>
    <w:rsid w:val="00C8366B"/>
    <w:rsid w:val="00C8388C"/>
    <w:rsid w:val="00C83A04"/>
    <w:rsid w:val="00C83BFD"/>
    <w:rsid w:val="00C83D94"/>
    <w:rsid w:val="00C83E61"/>
    <w:rsid w:val="00C840CA"/>
    <w:rsid w:val="00C841D1"/>
    <w:rsid w:val="00C8425D"/>
    <w:rsid w:val="00C84261"/>
    <w:rsid w:val="00C842AD"/>
    <w:rsid w:val="00C84546"/>
    <w:rsid w:val="00C84946"/>
    <w:rsid w:val="00C84A9D"/>
    <w:rsid w:val="00C84ADF"/>
    <w:rsid w:val="00C84BBB"/>
    <w:rsid w:val="00C84C85"/>
    <w:rsid w:val="00C84E76"/>
    <w:rsid w:val="00C850B4"/>
    <w:rsid w:val="00C850FF"/>
    <w:rsid w:val="00C8584C"/>
    <w:rsid w:val="00C85BA9"/>
    <w:rsid w:val="00C860F9"/>
    <w:rsid w:val="00C863AB"/>
    <w:rsid w:val="00C863FD"/>
    <w:rsid w:val="00C86686"/>
    <w:rsid w:val="00C86724"/>
    <w:rsid w:val="00C86752"/>
    <w:rsid w:val="00C86835"/>
    <w:rsid w:val="00C86FE0"/>
    <w:rsid w:val="00C874CE"/>
    <w:rsid w:val="00C87522"/>
    <w:rsid w:val="00C87707"/>
    <w:rsid w:val="00C87A8A"/>
    <w:rsid w:val="00C87D71"/>
    <w:rsid w:val="00C87D9C"/>
    <w:rsid w:val="00C87E60"/>
    <w:rsid w:val="00C906D6"/>
    <w:rsid w:val="00C90752"/>
    <w:rsid w:val="00C90BE8"/>
    <w:rsid w:val="00C90E5C"/>
    <w:rsid w:val="00C91064"/>
    <w:rsid w:val="00C9134D"/>
    <w:rsid w:val="00C91369"/>
    <w:rsid w:val="00C913BB"/>
    <w:rsid w:val="00C914EF"/>
    <w:rsid w:val="00C91554"/>
    <w:rsid w:val="00C916A1"/>
    <w:rsid w:val="00C91713"/>
    <w:rsid w:val="00C9188C"/>
    <w:rsid w:val="00C919D9"/>
    <w:rsid w:val="00C91AB0"/>
    <w:rsid w:val="00C91ADF"/>
    <w:rsid w:val="00C91C0F"/>
    <w:rsid w:val="00C9206A"/>
    <w:rsid w:val="00C9210A"/>
    <w:rsid w:val="00C9245E"/>
    <w:rsid w:val="00C92942"/>
    <w:rsid w:val="00C92A6D"/>
    <w:rsid w:val="00C92C2E"/>
    <w:rsid w:val="00C92CD5"/>
    <w:rsid w:val="00C92D44"/>
    <w:rsid w:val="00C92D9E"/>
    <w:rsid w:val="00C92E8E"/>
    <w:rsid w:val="00C92FF5"/>
    <w:rsid w:val="00C93094"/>
    <w:rsid w:val="00C930B9"/>
    <w:rsid w:val="00C930E7"/>
    <w:rsid w:val="00C9315F"/>
    <w:rsid w:val="00C933B5"/>
    <w:rsid w:val="00C93555"/>
    <w:rsid w:val="00C93937"/>
    <w:rsid w:val="00C93A52"/>
    <w:rsid w:val="00C93BC2"/>
    <w:rsid w:val="00C93CC2"/>
    <w:rsid w:val="00C93D53"/>
    <w:rsid w:val="00C93F59"/>
    <w:rsid w:val="00C93F6B"/>
    <w:rsid w:val="00C9404D"/>
    <w:rsid w:val="00C947A2"/>
    <w:rsid w:val="00C94A4D"/>
    <w:rsid w:val="00C94B5D"/>
    <w:rsid w:val="00C952D7"/>
    <w:rsid w:val="00C95420"/>
    <w:rsid w:val="00C9555D"/>
    <w:rsid w:val="00C956B6"/>
    <w:rsid w:val="00C957D4"/>
    <w:rsid w:val="00C9595A"/>
    <w:rsid w:val="00C959DD"/>
    <w:rsid w:val="00C95A95"/>
    <w:rsid w:val="00C95C52"/>
    <w:rsid w:val="00C9641E"/>
    <w:rsid w:val="00C9681E"/>
    <w:rsid w:val="00C968B0"/>
    <w:rsid w:val="00C96C4B"/>
    <w:rsid w:val="00C96EB2"/>
    <w:rsid w:val="00C972F3"/>
    <w:rsid w:val="00C976D1"/>
    <w:rsid w:val="00C97BC6"/>
    <w:rsid w:val="00C97C73"/>
    <w:rsid w:val="00C97F14"/>
    <w:rsid w:val="00CA004D"/>
    <w:rsid w:val="00CA02EA"/>
    <w:rsid w:val="00CA0664"/>
    <w:rsid w:val="00CA07D3"/>
    <w:rsid w:val="00CA0C1F"/>
    <w:rsid w:val="00CA0D41"/>
    <w:rsid w:val="00CA0DB3"/>
    <w:rsid w:val="00CA0F15"/>
    <w:rsid w:val="00CA0FD7"/>
    <w:rsid w:val="00CA1215"/>
    <w:rsid w:val="00CA13EF"/>
    <w:rsid w:val="00CA1D2F"/>
    <w:rsid w:val="00CA1DC1"/>
    <w:rsid w:val="00CA1DDE"/>
    <w:rsid w:val="00CA1DE9"/>
    <w:rsid w:val="00CA203A"/>
    <w:rsid w:val="00CA254C"/>
    <w:rsid w:val="00CA287F"/>
    <w:rsid w:val="00CA28D2"/>
    <w:rsid w:val="00CA29DC"/>
    <w:rsid w:val="00CA29F2"/>
    <w:rsid w:val="00CA2D13"/>
    <w:rsid w:val="00CA2E7F"/>
    <w:rsid w:val="00CA320F"/>
    <w:rsid w:val="00CA3438"/>
    <w:rsid w:val="00CA35F4"/>
    <w:rsid w:val="00CA36A7"/>
    <w:rsid w:val="00CA384A"/>
    <w:rsid w:val="00CA38D0"/>
    <w:rsid w:val="00CA3B26"/>
    <w:rsid w:val="00CA3CA8"/>
    <w:rsid w:val="00CA3D3D"/>
    <w:rsid w:val="00CA3DBD"/>
    <w:rsid w:val="00CA4155"/>
    <w:rsid w:val="00CA4347"/>
    <w:rsid w:val="00CA44A0"/>
    <w:rsid w:val="00CA485E"/>
    <w:rsid w:val="00CA4E04"/>
    <w:rsid w:val="00CA4EFD"/>
    <w:rsid w:val="00CA5262"/>
    <w:rsid w:val="00CA57CE"/>
    <w:rsid w:val="00CA580A"/>
    <w:rsid w:val="00CA5A58"/>
    <w:rsid w:val="00CA5C62"/>
    <w:rsid w:val="00CA6291"/>
    <w:rsid w:val="00CA6315"/>
    <w:rsid w:val="00CA642B"/>
    <w:rsid w:val="00CA6986"/>
    <w:rsid w:val="00CA6A51"/>
    <w:rsid w:val="00CA6B5E"/>
    <w:rsid w:val="00CA6D73"/>
    <w:rsid w:val="00CA6EB6"/>
    <w:rsid w:val="00CA735E"/>
    <w:rsid w:val="00CA7983"/>
    <w:rsid w:val="00CA79AA"/>
    <w:rsid w:val="00CA79EE"/>
    <w:rsid w:val="00CA7AD8"/>
    <w:rsid w:val="00CA7DB0"/>
    <w:rsid w:val="00CA7DCB"/>
    <w:rsid w:val="00CB0076"/>
    <w:rsid w:val="00CB054A"/>
    <w:rsid w:val="00CB06C6"/>
    <w:rsid w:val="00CB083C"/>
    <w:rsid w:val="00CB0A23"/>
    <w:rsid w:val="00CB0C6D"/>
    <w:rsid w:val="00CB0D0A"/>
    <w:rsid w:val="00CB1728"/>
    <w:rsid w:val="00CB1752"/>
    <w:rsid w:val="00CB1B34"/>
    <w:rsid w:val="00CB1C7C"/>
    <w:rsid w:val="00CB1D5F"/>
    <w:rsid w:val="00CB1E2B"/>
    <w:rsid w:val="00CB1F6C"/>
    <w:rsid w:val="00CB20F6"/>
    <w:rsid w:val="00CB20FC"/>
    <w:rsid w:val="00CB2306"/>
    <w:rsid w:val="00CB23CD"/>
    <w:rsid w:val="00CB25C0"/>
    <w:rsid w:val="00CB2681"/>
    <w:rsid w:val="00CB28D5"/>
    <w:rsid w:val="00CB29F1"/>
    <w:rsid w:val="00CB2D91"/>
    <w:rsid w:val="00CB2E68"/>
    <w:rsid w:val="00CB2F95"/>
    <w:rsid w:val="00CB313D"/>
    <w:rsid w:val="00CB35D0"/>
    <w:rsid w:val="00CB3715"/>
    <w:rsid w:val="00CB37B5"/>
    <w:rsid w:val="00CB37D5"/>
    <w:rsid w:val="00CB38B7"/>
    <w:rsid w:val="00CB3900"/>
    <w:rsid w:val="00CB3A04"/>
    <w:rsid w:val="00CB3AA8"/>
    <w:rsid w:val="00CB3BF5"/>
    <w:rsid w:val="00CB4228"/>
    <w:rsid w:val="00CB43C8"/>
    <w:rsid w:val="00CB4407"/>
    <w:rsid w:val="00CB451A"/>
    <w:rsid w:val="00CB4635"/>
    <w:rsid w:val="00CB466B"/>
    <w:rsid w:val="00CB4815"/>
    <w:rsid w:val="00CB487D"/>
    <w:rsid w:val="00CB4886"/>
    <w:rsid w:val="00CB48AF"/>
    <w:rsid w:val="00CB4CA1"/>
    <w:rsid w:val="00CB4FCA"/>
    <w:rsid w:val="00CB5217"/>
    <w:rsid w:val="00CB52D7"/>
    <w:rsid w:val="00CB53F7"/>
    <w:rsid w:val="00CB5434"/>
    <w:rsid w:val="00CB5519"/>
    <w:rsid w:val="00CB5AC3"/>
    <w:rsid w:val="00CB5BE6"/>
    <w:rsid w:val="00CB5D26"/>
    <w:rsid w:val="00CB60C1"/>
    <w:rsid w:val="00CB6141"/>
    <w:rsid w:val="00CB6302"/>
    <w:rsid w:val="00CB65B5"/>
    <w:rsid w:val="00CB670A"/>
    <w:rsid w:val="00CB68E6"/>
    <w:rsid w:val="00CB6A2C"/>
    <w:rsid w:val="00CB6A91"/>
    <w:rsid w:val="00CB6EB3"/>
    <w:rsid w:val="00CB7015"/>
    <w:rsid w:val="00CB7A99"/>
    <w:rsid w:val="00CB7ACA"/>
    <w:rsid w:val="00CB7B7E"/>
    <w:rsid w:val="00CB7EE0"/>
    <w:rsid w:val="00CB7F72"/>
    <w:rsid w:val="00CC0190"/>
    <w:rsid w:val="00CC04D5"/>
    <w:rsid w:val="00CC04F3"/>
    <w:rsid w:val="00CC04FC"/>
    <w:rsid w:val="00CC09A4"/>
    <w:rsid w:val="00CC0A57"/>
    <w:rsid w:val="00CC117B"/>
    <w:rsid w:val="00CC135A"/>
    <w:rsid w:val="00CC13D3"/>
    <w:rsid w:val="00CC16B0"/>
    <w:rsid w:val="00CC1A1B"/>
    <w:rsid w:val="00CC1A28"/>
    <w:rsid w:val="00CC1AFE"/>
    <w:rsid w:val="00CC20C2"/>
    <w:rsid w:val="00CC21C4"/>
    <w:rsid w:val="00CC29C3"/>
    <w:rsid w:val="00CC2A39"/>
    <w:rsid w:val="00CC2C69"/>
    <w:rsid w:val="00CC2FFD"/>
    <w:rsid w:val="00CC311E"/>
    <w:rsid w:val="00CC34FA"/>
    <w:rsid w:val="00CC3605"/>
    <w:rsid w:val="00CC367C"/>
    <w:rsid w:val="00CC3AB4"/>
    <w:rsid w:val="00CC3BC6"/>
    <w:rsid w:val="00CC3FDC"/>
    <w:rsid w:val="00CC4476"/>
    <w:rsid w:val="00CC4545"/>
    <w:rsid w:val="00CC4558"/>
    <w:rsid w:val="00CC4787"/>
    <w:rsid w:val="00CC49F0"/>
    <w:rsid w:val="00CC4B47"/>
    <w:rsid w:val="00CC4D7A"/>
    <w:rsid w:val="00CC4F69"/>
    <w:rsid w:val="00CC512B"/>
    <w:rsid w:val="00CC5132"/>
    <w:rsid w:val="00CC519F"/>
    <w:rsid w:val="00CC52AC"/>
    <w:rsid w:val="00CC540D"/>
    <w:rsid w:val="00CC55A6"/>
    <w:rsid w:val="00CC55A8"/>
    <w:rsid w:val="00CC55EC"/>
    <w:rsid w:val="00CC564C"/>
    <w:rsid w:val="00CC56DF"/>
    <w:rsid w:val="00CC586C"/>
    <w:rsid w:val="00CC5A6A"/>
    <w:rsid w:val="00CC5BF1"/>
    <w:rsid w:val="00CC5C29"/>
    <w:rsid w:val="00CC6028"/>
    <w:rsid w:val="00CC6085"/>
    <w:rsid w:val="00CC6230"/>
    <w:rsid w:val="00CC630B"/>
    <w:rsid w:val="00CC6311"/>
    <w:rsid w:val="00CC6649"/>
    <w:rsid w:val="00CC66B6"/>
    <w:rsid w:val="00CC6970"/>
    <w:rsid w:val="00CC6DC3"/>
    <w:rsid w:val="00CC6FFE"/>
    <w:rsid w:val="00CC7079"/>
    <w:rsid w:val="00CC717C"/>
    <w:rsid w:val="00CC74C4"/>
    <w:rsid w:val="00CC76B5"/>
    <w:rsid w:val="00CC77F2"/>
    <w:rsid w:val="00CC7FB9"/>
    <w:rsid w:val="00CD0033"/>
    <w:rsid w:val="00CD018A"/>
    <w:rsid w:val="00CD01F0"/>
    <w:rsid w:val="00CD0706"/>
    <w:rsid w:val="00CD071C"/>
    <w:rsid w:val="00CD07D7"/>
    <w:rsid w:val="00CD09BF"/>
    <w:rsid w:val="00CD0D55"/>
    <w:rsid w:val="00CD0EDC"/>
    <w:rsid w:val="00CD0FA7"/>
    <w:rsid w:val="00CD12F7"/>
    <w:rsid w:val="00CD134D"/>
    <w:rsid w:val="00CD141C"/>
    <w:rsid w:val="00CD1AAD"/>
    <w:rsid w:val="00CD1B1D"/>
    <w:rsid w:val="00CD1C6A"/>
    <w:rsid w:val="00CD1DAD"/>
    <w:rsid w:val="00CD1DD5"/>
    <w:rsid w:val="00CD21AA"/>
    <w:rsid w:val="00CD23D2"/>
    <w:rsid w:val="00CD2531"/>
    <w:rsid w:val="00CD262E"/>
    <w:rsid w:val="00CD263F"/>
    <w:rsid w:val="00CD29DF"/>
    <w:rsid w:val="00CD2BE0"/>
    <w:rsid w:val="00CD2D52"/>
    <w:rsid w:val="00CD2D8A"/>
    <w:rsid w:val="00CD2F29"/>
    <w:rsid w:val="00CD2F45"/>
    <w:rsid w:val="00CD3158"/>
    <w:rsid w:val="00CD315D"/>
    <w:rsid w:val="00CD32A2"/>
    <w:rsid w:val="00CD3727"/>
    <w:rsid w:val="00CD3C3B"/>
    <w:rsid w:val="00CD4286"/>
    <w:rsid w:val="00CD43DC"/>
    <w:rsid w:val="00CD4799"/>
    <w:rsid w:val="00CD47B3"/>
    <w:rsid w:val="00CD4826"/>
    <w:rsid w:val="00CD4A6B"/>
    <w:rsid w:val="00CD4B2B"/>
    <w:rsid w:val="00CD4B7E"/>
    <w:rsid w:val="00CD4C19"/>
    <w:rsid w:val="00CD4D21"/>
    <w:rsid w:val="00CD5120"/>
    <w:rsid w:val="00CD52EA"/>
    <w:rsid w:val="00CD54CB"/>
    <w:rsid w:val="00CD5907"/>
    <w:rsid w:val="00CD59B4"/>
    <w:rsid w:val="00CD5A91"/>
    <w:rsid w:val="00CD5B18"/>
    <w:rsid w:val="00CD5B2F"/>
    <w:rsid w:val="00CD6189"/>
    <w:rsid w:val="00CD625C"/>
    <w:rsid w:val="00CD6416"/>
    <w:rsid w:val="00CD6691"/>
    <w:rsid w:val="00CD6CC4"/>
    <w:rsid w:val="00CD6D07"/>
    <w:rsid w:val="00CD6DE0"/>
    <w:rsid w:val="00CD6E1C"/>
    <w:rsid w:val="00CD6E48"/>
    <w:rsid w:val="00CD75F2"/>
    <w:rsid w:val="00CD7846"/>
    <w:rsid w:val="00CD792A"/>
    <w:rsid w:val="00CD79AE"/>
    <w:rsid w:val="00CD79DB"/>
    <w:rsid w:val="00CD7A10"/>
    <w:rsid w:val="00CD7B16"/>
    <w:rsid w:val="00CD7B1F"/>
    <w:rsid w:val="00CD7BB2"/>
    <w:rsid w:val="00CE011F"/>
    <w:rsid w:val="00CE01DB"/>
    <w:rsid w:val="00CE02F9"/>
    <w:rsid w:val="00CE05C3"/>
    <w:rsid w:val="00CE0B13"/>
    <w:rsid w:val="00CE0F1F"/>
    <w:rsid w:val="00CE1035"/>
    <w:rsid w:val="00CE11CD"/>
    <w:rsid w:val="00CE1296"/>
    <w:rsid w:val="00CE1401"/>
    <w:rsid w:val="00CE190B"/>
    <w:rsid w:val="00CE20C9"/>
    <w:rsid w:val="00CE255C"/>
    <w:rsid w:val="00CE2578"/>
    <w:rsid w:val="00CE2715"/>
    <w:rsid w:val="00CE2719"/>
    <w:rsid w:val="00CE286C"/>
    <w:rsid w:val="00CE295D"/>
    <w:rsid w:val="00CE32CC"/>
    <w:rsid w:val="00CE3337"/>
    <w:rsid w:val="00CE34DE"/>
    <w:rsid w:val="00CE36CC"/>
    <w:rsid w:val="00CE3761"/>
    <w:rsid w:val="00CE379C"/>
    <w:rsid w:val="00CE3A57"/>
    <w:rsid w:val="00CE3ABC"/>
    <w:rsid w:val="00CE3CB6"/>
    <w:rsid w:val="00CE3CEF"/>
    <w:rsid w:val="00CE3DD9"/>
    <w:rsid w:val="00CE3DFF"/>
    <w:rsid w:val="00CE3E11"/>
    <w:rsid w:val="00CE3E5F"/>
    <w:rsid w:val="00CE3EC4"/>
    <w:rsid w:val="00CE3F14"/>
    <w:rsid w:val="00CE3F2C"/>
    <w:rsid w:val="00CE4291"/>
    <w:rsid w:val="00CE4347"/>
    <w:rsid w:val="00CE446E"/>
    <w:rsid w:val="00CE44D6"/>
    <w:rsid w:val="00CE4583"/>
    <w:rsid w:val="00CE47F9"/>
    <w:rsid w:val="00CE4A38"/>
    <w:rsid w:val="00CE4B51"/>
    <w:rsid w:val="00CE4B67"/>
    <w:rsid w:val="00CE4BA1"/>
    <w:rsid w:val="00CE4D3C"/>
    <w:rsid w:val="00CE4DD2"/>
    <w:rsid w:val="00CE4E79"/>
    <w:rsid w:val="00CE50AF"/>
    <w:rsid w:val="00CE5145"/>
    <w:rsid w:val="00CE5249"/>
    <w:rsid w:val="00CE54A9"/>
    <w:rsid w:val="00CE55E0"/>
    <w:rsid w:val="00CE572A"/>
    <w:rsid w:val="00CE58F7"/>
    <w:rsid w:val="00CE5E0A"/>
    <w:rsid w:val="00CE5FE4"/>
    <w:rsid w:val="00CE6059"/>
    <w:rsid w:val="00CE609C"/>
    <w:rsid w:val="00CE60B5"/>
    <w:rsid w:val="00CE6204"/>
    <w:rsid w:val="00CE63A1"/>
    <w:rsid w:val="00CE6698"/>
    <w:rsid w:val="00CE6796"/>
    <w:rsid w:val="00CE6976"/>
    <w:rsid w:val="00CE6B30"/>
    <w:rsid w:val="00CE6C86"/>
    <w:rsid w:val="00CE6CEF"/>
    <w:rsid w:val="00CE6D8A"/>
    <w:rsid w:val="00CE6EC3"/>
    <w:rsid w:val="00CE6EFE"/>
    <w:rsid w:val="00CE727C"/>
    <w:rsid w:val="00CE728A"/>
    <w:rsid w:val="00CE77BE"/>
    <w:rsid w:val="00CE7AC6"/>
    <w:rsid w:val="00CE7C0C"/>
    <w:rsid w:val="00CE7D70"/>
    <w:rsid w:val="00CE7F5A"/>
    <w:rsid w:val="00CE7F6B"/>
    <w:rsid w:val="00CE7FCF"/>
    <w:rsid w:val="00CF021B"/>
    <w:rsid w:val="00CF026E"/>
    <w:rsid w:val="00CF05DE"/>
    <w:rsid w:val="00CF0A58"/>
    <w:rsid w:val="00CF0BB5"/>
    <w:rsid w:val="00CF0C22"/>
    <w:rsid w:val="00CF0CAF"/>
    <w:rsid w:val="00CF0E28"/>
    <w:rsid w:val="00CF1018"/>
    <w:rsid w:val="00CF174A"/>
    <w:rsid w:val="00CF1E76"/>
    <w:rsid w:val="00CF1EBC"/>
    <w:rsid w:val="00CF2074"/>
    <w:rsid w:val="00CF20C9"/>
    <w:rsid w:val="00CF21F1"/>
    <w:rsid w:val="00CF255C"/>
    <w:rsid w:val="00CF26F4"/>
    <w:rsid w:val="00CF2713"/>
    <w:rsid w:val="00CF271E"/>
    <w:rsid w:val="00CF2737"/>
    <w:rsid w:val="00CF282B"/>
    <w:rsid w:val="00CF2C0C"/>
    <w:rsid w:val="00CF2F90"/>
    <w:rsid w:val="00CF3017"/>
    <w:rsid w:val="00CF3235"/>
    <w:rsid w:val="00CF33B5"/>
    <w:rsid w:val="00CF34D5"/>
    <w:rsid w:val="00CF35B8"/>
    <w:rsid w:val="00CF37C0"/>
    <w:rsid w:val="00CF37DD"/>
    <w:rsid w:val="00CF3B11"/>
    <w:rsid w:val="00CF3E78"/>
    <w:rsid w:val="00CF412E"/>
    <w:rsid w:val="00CF4243"/>
    <w:rsid w:val="00CF4692"/>
    <w:rsid w:val="00CF474A"/>
    <w:rsid w:val="00CF4821"/>
    <w:rsid w:val="00CF4A79"/>
    <w:rsid w:val="00CF4C53"/>
    <w:rsid w:val="00CF4CC4"/>
    <w:rsid w:val="00CF4FAB"/>
    <w:rsid w:val="00CF502B"/>
    <w:rsid w:val="00CF50DC"/>
    <w:rsid w:val="00CF54C7"/>
    <w:rsid w:val="00CF56C1"/>
    <w:rsid w:val="00CF5A7B"/>
    <w:rsid w:val="00CF5B08"/>
    <w:rsid w:val="00CF5C19"/>
    <w:rsid w:val="00CF6091"/>
    <w:rsid w:val="00CF61E6"/>
    <w:rsid w:val="00CF6935"/>
    <w:rsid w:val="00CF6938"/>
    <w:rsid w:val="00CF69FF"/>
    <w:rsid w:val="00CF6B8D"/>
    <w:rsid w:val="00CF6DA9"/>
    <w:rsid w:val="00CF70B9"/>
    <w:rsid w:val="00CF70BE"/>
    <w:rsid w:val="00CF721E"/>
    <w:rsid w:val="00CF7364"/>
    <w:rsid w:val="00CF746F"/>
    <w:rsid w:val="00D00008"/>
    <w:rsid w:val="00D00576"/>
    <w:rsid w:val="00D005E3"/>
    <w:rsid w:val="00D00A76"/>
    <w:rsid w:val="00D00AF4"/>
    <w:rsid w:val="00D00B8C"/>
    <w:rsid w:val="00D00BB9"/>
    <w:rsid w:val="00D00D57"/>
    <w:rsid w:val="00D010AC"/>
    <w:rsid w:val="00D01110"/>
    <w:rsid w:val="00D01385"/>
    <w:rsid w:val="00D016BD"/>
    <w:rsid w:val="00D01938"/>
    <w:rsid w:val="00D0197A"/>
    <w:rsid w:val="00D01B1E"/>
    <w:rsid w:val="00D01E3C"/>
    <w:rsid w:val="00D02513"/>
    <w:rsid w:val="00D0281B"/>
    <w:rsid w:val="00D02866"/>
    <w:rsid w:val="00D03182"/>
    <w:rsid w:val="00D03258"/>
    <w:rsid w:val="00D0348E"/>
    <w:rsid w:val="00D03891"/>
    <w:rsid w:val="00D03B0D"/>
    <w:rsid w:val="00D0409C"/>
    <w:rsid w:val="00D04333"/>
    <w:rsid w:val="00D045EF"/>
    <w:rsid w:val="00D04604"/>
    <w:rsid w:val="00D0489B"/>
    <w:rsid w:val="00D04904"/>
    <w:rsid w:val="00D04AC2"/>
    <w:rsid w:val="00D04CFD"/>
    <w:rsid w:val="00D0511B"/>
    <w:rsid w:val="00D05284"/>
    <w:rsid w:val="00D054D5"/>
    <w:rsid w:val="00D055E9"/>
    <w:rsid w:val="00D05776"/>
    <w:rsid w:val="00D05BA5"/>
    <w:rsid w:val="00D05E8E"/>
    <w:rsid w:val="00D06002"/>
    <w:rsid w:val="00D060F6"/>
    <w:rsid w:val="00D06114"/>
    <w:rsid w:val="00D06212"/>
    <w:rsid w:val="00D06236"/>
    <w:rsid w:val="00D06662"/>
    <w:rsid w:val="00D06692"/>
    <w:rsid w:val="00D06774"/>
    <w:rsid w:val="00D06856"/>
    <w:rsid w:val="00D06A4D"/>
    <w:rsid w:val="00D06A97"/>
    <w:rsid w:val="00D06AA1"/>
    <w:rsid w:val="00D06AAD"/>
    <w:rsid w:val="00D06C39"/>
    <w:rsid w:val="00D0700D"/>
    <w:rsid w:val="00D071D5"/>
    <w:rsid w:val="00D074C2"/>
    <w:rsid w:val="00D078BA"/>
    <w:rsid w:val="00D079C0"/>
    <w:rsid w:val="00D07D3D"/>
    <w:rsid w:val="00D07DAD"/>
    <w:rsid w:val="00D07E39"/>
    <w:rsid w:val="00D1005E"/>
    <w:rsid w:val="00D10230"/>
    <w:rsid w:val="00D104E6"/>
    <w:rsid w:val="00D10508"/>
    <w:rsid w:val="00D1050A"/>
    <w:rsid w:val="00D10DD0"/>
    <w:rsid w:val="00D10F1E"/>
    <w:rsid w:val="00D11373"/>
    <w:rsid w:val="00D113BC"/>
    <w:rsid w:val="00D114A8"/>
    <w:rsid w:val="00D115D9"/>
    <w:rsid w:val="00D116AD"/>
    <w:rsid w:val="00D11745"/>
    <w:rsid w:val="00D11A44"/>
    <w:rsid w:val="00D11A4C"/>
    <w:rsid w:val="00D11CA0"/>
    <w:rsid w:val="00D11CEF"/>
    <w:rsid w:val="00D120B5"/>
    <w:rsid w:val="00D12179"/>
    <w:rsid w:val="00D121C9"/>
    <w:rsid w:val="00D1232A"/>
    <w:rsid w:val="00D123B7"/>
    <w:rsid w:val="00D1284D"/>
    <w:rsid w:val="00D12B2F"/>
    <w:rsid w:val="00D12C62"/>
    <w:rsid w:val="00D12EF0"/>
    <w:rsid w:val="00D12F5D"/>
    <w:rsid w:val="00D1315F"/>
    <w:rsid w:val="00D13413"/>
    <w:rsid w:val="00D13647"/>
    <w:rsid w:val="00D13745"/>
    <w:rsid w:val="00D1374A"/>
    <w:rsid w:val="00D13A2D"/>
    <w:rsid w:val="00D13BAD"/>
    <w:rsid w:val="00D13C1F"/>
    <w:rsid w:val="00D13C5D"/>
    <w:rsid w:val="00D13DFE"/>
    <w:rsid w:val="00D14247"/>
    <w:rsid w:val="00D1429F"/>
    <w:rsid w:val="00D143D1"/>
    <w:rsid w:val="00D14504"/>
    <w:rsid w:val="00D14540"/>
    <w:rsid w:val="00D145B5"/>
    <w:rsid w:val="00D14E45"/>
    <w:rsid w:val="00D14E6C"/>
    <w:rsid w:val="00D14FCE"/>
    <w:rsid w:val="00D1544D"/>
    <w:rsid w:val="00D155A3"/>
    <w:rsid w:val="00D156E3"/>
    <w:rsid w:val="00D15C7B"/>
    <w:rsid w:val="00D15E0B"/>
    <w:rsid w:val="00D16478"/>
    <w:rsid w:val="00D166DA"/>
    <w:rsid w:val="00D1697B"/>
    <w:rsid w:val="00D169EA"/>
    <w:rsid w:val="00D16CCA"/>
    <w:rsid w:val="00D16E72"/>
    <w:rsid w:val="00D16EBC"/>
    <w:rsid w:val="00D1772D"/>
    <w:rsid w:val="00D17935"/>
    <w:rsid w:val="00D17D8A"/>
    <w:rsid w:val="00D2067E"/>
    <w:rsid w:val="00D20693"/>
    <w:rsid w:val="00D206FF"/>
    <w:rsid w:val="00D2074A"/>
    <w:rsid w:val="00D20AC7"/>
    <w:rsid w:val="00D20C69"/>
    <w:rsid w:val="00D20F58"/>
    <w:rsid w:val="00D214DE"/>
    <w:rsid w:val="00D21529"/>
    <w:rsid w:val="00D21A3B"/>
    <w:rsid w:val="00D21A7D"/>
    <w:rsid w:val="00D21AD4"/>
    <w:rsid w:val="00D21C5B"/>
    <w:rsid w:val="00D21D43"/>
    <w:rsid w:val="00D21FA3"/>
    <w:rsid w:val="00D222B9"/>
    <w:rsid w:val="00D224B9"/>
    <w:rsid w:val="00D224BD"/>
    <w:rsid w:val="00D22618"/>
    <w:rsid w:val="00D2274D"/>
    <w:rsid w:val="00D22BDA"/>
    <w:rsid w:val="00D22CAE"/>
    <w:rsid w:val="00D22F43"/>
    <w:rsid w:val="00D23309"/>
    <w:rsid w:val="00D23417"/>
    <w:rsid w:val="00D2357E"/>
    <w:rsid w:val="00D239C8"/>
    <w:rsid w:val="00D23A90"/>
    <w:rsid w:val="00D23BAC"/>
    <w:rsid w:val="00D241F4"/>
    <w:rsid w:val="00D2422E"/>
    <w:rsid w:val="00D242DA"/>
    <w:rsid w:val="00D24332"/>
    <w:rsid w:val="00D24464"/>
    <w:rsid w:val="00D24A24"/>
    <w:rsid w:val="00D24FCD"/>
    <w:rsid w:val="00D25012"/>
    <w:rsid w:val="00D2515C"/>
    <w:rsid w:val="00D25385"/>
    <w:rsid w:val="00D255D2"/>
    <w:rsid w:val="00D25640"/>
    <w:rsid w:val="00D257F1"/>
    <w:rsid w:val="00D25AF3"/>
    <w:rsid w:val="00D25B77"/>
    <w:rsid w:val="00D25C26"/>
    <w:rsid w:val="00D25CF8"/>
    <w:rsid w:val="00D25E73"/>
    <w:rsid w:val="00D25FBF"/>
    <w:rsid w:val="00D26294"/>
    <w:rsid w:val="00D262FF"/>
    <w:rsid w:val="00D2630E"/>
    <w:rsid w:val="00D26437"/>
    <w:rsid w:val="00D26625"/>
    <w:rsid w:val="00D26635"/>
    <w:rsid w:val="00D26636"/>
    <w:rsid w:val="00D2693F"/>
    <w:rsid w:val="00D26944"/>
    <w:rsid w:val="00D26977"/>
    <w:rsid w:val="00D26A89"/>
    <w:rsid w:val="00D26B2F"/>
    <w:rsid w:val="00D26C02"/>
    <w:rsid w:val="00D26C1E"/>
    <w:rsid w:val="00D26C24"/>
    <w:rsid w:val="00D26E7B"/>
    <w:rsid w:val="00D26F18"/>
    <w:rsid w:val="00D27236"/>
    <w:rsid w:val="00D27301"/>
    <w:rsid w:val="00D27411"/>
    <w:rsid w:val="00D3101F"/>
    <w:rsid w:val="00D31094"/>
    <w:rsid w:val="00D31128"/>
    <w:rsid w:val="00D31375"/>
    <w:rsid w:val="00D3141F"/>
    <w:rsid w:val="00D31505"/>
    <w:rsid w:val="00D31676"/>
    <w:rsid w:val="00D318C6"/>
    <w:rsid w:val="00D31B4F"/>
    <w:rsid w:val="00D31F9F"/>
    <w:rsid w:val="00D32464"/>
    <w:rsid w:val="00D325EA"/>
    <w:rsid w:val="00D32622"/>
    <w:rsid w:val="00D3262A"/>
    <w:rsid w:val="00D32817"/>
    <w:rsid w:val="00D32C55"/>
    <w:rsid w:val="00D32CC1"/>
    <w:rsid w:val="00D32D6C"/>
    <w:rsid w:val="00D32D8B"/>
    <w:rsid w:val="00D3327A"/>
    <w:rsid w:val="00D33379"/>
    <w:rsid w:val="00D33416"/>
    <w:rsid w:val="00D33450"/>
    <w:rsid w:val="00D334EC"/>
    <w:rsid w:val="00D335F3"/>
    <w:rsid w:val="00D33646"/>
    <w:rsid w:val="00D336EA"/>
    <w:rsid w:val="00D33795"/>
    <w:rsid w:val="00D339C5"/>
    <w:rsid w:val="00D33A4D"/>
    <w:rsid w:val="00D33A62"/>
    <w:rsid w:val="00D33C54"/>
    <w:rsid w:val="00D33C57"/>
    <w:rsid w:val="00D33D00"/>
    <w:rsid w:val="00D33F21"/>
    <w:rsid w:val="00D33F22"/>
    <w:rsid w:val="00D34184"/>
    <w:rsid w:val="00D343F2"/>
    <w:rsid w:val="00D34589"/>
    <w:rsid w:val="00D3466B"/>
    <w:rsid w:val="00D34672"/>
    <w:rsid w:val="00D348CB"/>
    <w:rsid w:val="00D349B9"/>
    <w:rsid w:val="00D34BBE"/>
    <w:rsid w:val="00D34C9E"/>
    <w:rsid w:val="00D34DB9"/>
    <w:rsid w:val="00D35041"/>
    <w:rsid w:val="00D3530D"/>
    <w:rsid w:val="00D35402"/>
    <w:rsid w:val="00D354A7"/>
    <w:rsid w:val="00D356D7"/>
    <w:rsid w:val="00D35942"/>
    <w:rsid w:val="00D35BDD"/>
    <w:rsid w:val="00D35C1F"/>
    <w:rsid w:val="00D35E08"/>
    <w:rsid w:val="00D35FCA"/>
    <w:rsid w:val="00D360A4"/>
    <w:rsid w:val="00D3641C"/>
    <w:rsid w:val="00D364C5"/>
    <w:rsid w:val="00D36846"/>
    <w:rsid w:val="00D3687C"/>
    <w:rsid w:val="00D36B84"/>
    <w:rsid w:val="00D36C16"/>
    <w:rsid w:val="00D36E96"/>
    <w:rsid w:val="00D36ECF"/>
    <w:rsid w:val="00D370C6"/>
    <w:rsid w:val="00D37393"/>
    <w:rsid w:val="00D374AF"/>
    <w:rsid w:val="00D376CE"/>
    <w:rsid w:val="00D37825"/>
    <w:rsid w:val="00D3794E"/>
    <w:rsid w:val="00D37997"/>
    <w:rsid w:val="00D40075"/>
    <w:rsid w:val="00D400CE"/>
    <w:rsid w:val="00D40171"/>
    <w:rsid w:val="00D4034A"/>
    <w:rsid w:val="00D4071E"/>
    <w:rsid w:val="00D4096A"/>
    <w:rsid w:val="00D409BB"/>
    <w:rsid w:val="00D409C5"/>
    <w:rsid w:val="00D40AB7"/>
    <w:rsid w:val="00D4125B"/>
    <w:rsid w:val="00D4127F"/>
    <w:rsid w:val="00D41518"/>
    <w:rsid w:val="00D4189C"/>
    <w:rsid w:val="00D41974"/>
    <w:rsid w:val="00D41ACD"/>
    <w:rsid w:val="00D41D44"/>
    <w:rsid w:val="00D41D8C"/>
    <w:rsid w:val="00D41EB9"/>
    <w:rsid w:val="00D42078"/>
    <w:rsid w:val="00D42136"/>
    <w:rsid w:val="00D42224"/>
    <w:rsid w:val="00D4229D"/>
    <w:rsid w:val="00D42314"/>
    <w:rsid w:val="00D4262E"/>
    <w:rsid w:val="00D427D6"/>
    <w:rsid w:val="00D427FD"/>
    <w:rsid w:val="00D4298A"/>
    <w:rsid w:val="00D42A49"/>
    <w:rsid w:val="00D42F22"/>
    <w:rsid w:val="00D42FC8"/>
    <w:rsid w:val="00D4302B"/>
    <w:rsid w:val="00D43035"/>
    <w:rsid w:val="00D430B8"/>
    <w:rsid w:val="00D43132"/>
    <w:rsid w:val="00D431B7"/>
    <w:rsid w:val="00D4385C"/>
    <w:rsid w:val="00D4387D"/>
    <w:rsid w:val="00D439E1"/>
    <w:rsid w:val="00D43B05"/>
    <w:rsid w:val="00D43C24"/>
    <w:rsid w:val="00D43DC9"/>
    <w:rsid w:val="00D43E12"/>
    <w:rsid w:val="00D443FA"/>
    <w:rsid w:val="00D4443F"/>
    <w:rsid w:val="00D44565"/>
    <w:rsid w:val="00D446F9"/>
    <w:rsid w:val="00D4472A"/>
    <w:rsid w:val="00D44B18"/>
    <w:rsid w:val="00D45119"/>
    <w:rsid w:val="00D4556D"/>
    <w:rsid w:val="00D45DC8"/>
    <w:rsid w:val="00D45EE2"/>
    <w:rsid w:val="00D46121"/>
    <w:rsid w:val="00D46217"/>
    <w:rsid w:val="00D46608"/>
    <w:rsid w:val="00D4660C"/>
    <w:rsid w:val="00D46F64"/>
    <w:rsid w:val="00D47214"/>
    <w:rsid w:val="00D475F5"/>
    <w:rsid w:val="00D476EE"/>
    <w:rsid w:val="00D47927"/>
    <w:rsid w:val="00D47E2D"/>
    <w:rsid w:val="00D47F7D"/>
    <w:rsid w:val="00D500EA"/>
    <w:rsid w:val="00D502C6"/>
    <w:rsid w:val="00D50462"/>
    <w:rsid w:val="00D50524"/>
    <w:rsid w:val="00D50535"/>
    <w:rsid w:val="00D50822"/>
    <w:rsid w:val="00D50B01"/>
    <w:rsid w:val="00D50C32"/>
    <w:rsid w:val="00D50DB2"/>
    <w:rsid w:val="00D50E85"/>
    <w:rsid w:val="00D50E8C"/>
    <w:rsid w:val="00D5112A"/>
    <w:rsid w:val="00D512E4"/>
    <w:rsid w:val="00D51463"/>
    <w:rsid w:val="00D514AD"/>
    <w:rsid w:val="00D51AE6"/>
    <w:rsid w:val="00D51EBC"/>
    <w:rsid w:val="00D52180"/>
    <w:rsid w:val="00D52189"/>
    <w:rsid w:val="00D521E9"/>
    <w:rsid w:val="00D52379"/>
    <w:rsid w:val="00D5255D"/>
    <w:rsid w:val="00D52723"/>
    <w:rsid w:val="00D52769"/>
    <w:rsid w:val="00D52A10"/>
    <w:rsid w:val="00D52BF7"/>
    <w:rsid w:val="00D52C28"/>
    <w:rsid w:val="00D52CA8"/>
    <w:rsid w:val="00D53023"/>
    <w:rsid w:val="00D53338"/>
    <w:rsid w:val="00D53CC8"/>
    <w:rsid w:val="00D53CF9"/>
    <w:rsid w:val="00D54178"/>
    <w:rsid w:val="00D54199"/>
    <w:rsid w:val="00D541BC"/>
    <w:rsid w:val="00D54226"/>
    <w:rsid w:val="00D5431F"/>
    <w:rsid w:val="00D5432A"/>
    <w:rsid w:val="00D5444B"/>
    <w:rsid w:val="00D54627"/>
    <w:rsid w:val="00D54BA6"/>
    <w:rsid w:val="00D54E23"/>
    <w:rsid w:val="00D54E59"/>
    <w:rsid w:val="00D55150"/>
    <w:rsid w:val="00D55239"/>
    <w:rsid w:val="00D55BCC"/>
    <w:rsid w:val="00D5600F"/>
    <w:rsid w:val="00D561BD"/>
    <w:rsid w:val="00D56286"/>
    <w:rsid w:val="00D562A5"/>
    <w:rsid w:val="00D5630B"/>
    <w:rsid w:val="00D5654C"/>
    <w:rsid w:val="00D565A9"/>
    <w:rsid w:val="00D565AF"/>
    <w:rsid w:val="00D569A7"/>
    <w:rsid w:val="00D569AA"/>
    <w:rsid w:val="00D56AC0"/>
    <w:rsid w:val="00D56FC0"/>
    <w:rsid w:val="00D57093"/>
    <w:rsid w:val="00D57127"/>
    <w:rsid w:val="00D571DD"/>
    <w:rsid w:val="00D571E6"/>
    <w:rsid w:val="00D57285"/>
    <w:rsid w:val="00D57341"/>
    <w:rsid w:val="00D573EB"/>
    <w:rsid w:val="00D57481"/>
    <w:rsid w:val="00D57A6D"/>
    <w:rsid w:val="00D57EF9"/>
    <w:rsid w:val="00D600C5"/>
    <w:rsid w:val="00D60225"/>
    <w:rsid w:val="00D60467"/>
    <w:rsid w:val="00D60777"/>
    <w:rsid w:val="00D607B9"/>
    <w:rsid w:val="00D60838"/>
    <w:rsid w:val="00D6083F"/>
    <w:rsid w:val="00D60B81"/>
    <w:rsid w:val="00D60CB0"/>
    <w:rsid w:val="00D60EFB"/>
    <w:rsid w:val="00D610BD"/>
    <w:rsid w:val="00D61152"/>
    <w:rsid w:val="00D611A5"/>
    <w:rsid w:val="00D6122F"/>
    <w:rsid w:val="00D613EE"/>
    <w:rsid w:val="00D61551"/>
    <w:rsid w:val="00D61786"/>
    <w:rsid w:val="00D61A06"/>
    <w:rsid w:val="00D61ABF"/>
    <w:rsid w:val="00D61AFF"/>
    <w:rsid w:val="00D61FA7"/>
    <w:rsid w:val="00D62150"/>
    <w:rsid w:val="00D624A7"/>
    <w:rsid w:val="00D625F3"/>
    <w:rsid w:val="00D62649"/>
    <w:rsid w:val="00D62BAA"/>
    <w:rsid w:val="00D62BD3"/>
    <w:rsid w:val="00D62C15"/>
    <w:rsid w:val="00D62DD0"/>
    <w:rsid w:val="00D62E62"/>
    <w:rsid w:val="00D62FCE"/>
    <w:rsid w:val="00D6306A"/>
    <w:rsid w:val="00D633CF"/>
    <w:rsid w:val="00D6341B"/>
    <w:rsid w:val="00D6358F"/>
    <w:rsid w:val="00D63625"/>
    <w:rsid w:val="00D6370A"/>
    <w:rsid w:val="00D637B4"/>
    <w:rsid w:val="00D638F3"/>
    <w:rsid w:val="00D63A05"/>
    <w:rsid w:val="00D63CBF"/>
    <w:rsid w:val="00D63D29"/>
    <w:rsid w:val="00D63FD1"/>
    <w:rsid w:val="00D64055"/>
    <w:rsid w:val="00D6427E"/>
    <w:rsid w:val="00D64537"/>
    <w:rsid w:val="00D64683"/>
    <w:rsid w:val="00D64818"/>
    <w:rsid w:val="00D649BF"/>
    <w:rsid w:val="00D64B41"/>
    <w:rsid w:val="00D64C1B"/>
    <w:rsid w:val="00D64D0D"/>
    <w:rsid w:val="00D64F0B"/>
    <w:rsid w:val="00D64F9D"/>
    <w:rsid w:val="00D65585"/>
    <w:rsid w:val="00D6560A"/>
    <w:rsid w:val="00D65CA4"/>
    <w:rsid w:val="00D65D03"/>
    <w:rsid w:val="00D65EF9"/>
    <w:rsid w:val="00D661DE"/>
    <w:rsid w:val="00D662C0"/>
    <w:rsid w:val="00D66450"/>
    <w:rsid w:val="00D66841"/>
    <w:rsid w:val="00D669CB"/>
    <w:rsid w:val="00D66A8F"/>
    <w:rsid w:val="00D66A90"/>
    <w:rsid w:val="00D66AD0"/>
    <w:rsid w:val="00D66B80"/>
    <w:rsid w:val="00D66BCC"/>
    <w:rsid w:val="00D66D64"/>
    <w:rsid w:val="00D66F00"/>
    <w:rsid w:val="00D671E5"/>
    <w:rsid w:val="00D672AF"/>
    <w:rsid w:val="00D67327"/>
    <w:rsid w:val="00D6732E"/>
    <w:rsid w:val="00D70356"/>
    <w:rsid w:val="00D70377"/>
    <w:rsid w:val="00D704B4"/>
    <w:rsid w:val="00D706FA"/>
    <w:rsid w:val="00D70F64"/>
    <w:rsid w:val="00D70FE3"/>
    <w:rsid w:val="00D71006"/>
    <w:rsid w:val="00D71488"/>
    <w:rsid w:val="00D71503"/>
    <w:rsid w:val="00D71650"/>
    <w:rsid w:val="00D71674"/>
    <w:rsid w:val="00D71B11"/>
    <w:rsid w:val="00D71CDF"/>
    <w:rsid w:val="00D71E17"/>
    <w:rsid w:val="00D71F92"/>
    <w:rsid w:val="00D721D8"/>
    <w:rsid w:val="00D724E3"/>
    <w:rsid w:val="00D725A4"/>
    <w:rsid w:val="00D726F4"/>
    <w:rsid w:val="00D7287E"/>
    <w:rsid w:val="00D72BA5"/>
    <w:rsid w:val="00D72DC7"/>
    <w:rsid w:val="00D72FC2"/>
    <w:rsid w:val="00D7302E"/>
    <w:rsid w:val="00D731B2"/>
    <w:rsid w:val="00D7346B"/>
    <w:rsid w:val="00D734A3"/>
    <w:rsid w:val="00D735D2"/>
    <w:rsid w:val="00D73752"/>
    <w:rsid w:val="00D738F7"/>
    <w:rsid w:val="00D73C3B"/>
    <w:rsid w:val="00D73C91"/>
    <w:rsid w:val="00D73D37"/>
    <w:rsid w:val="00D73D74"/>
    <w:rsid w:val="00D73EA7"/>
    <w:rsid w:val="00D73F6D"/>
    <w:rsid w:val="00D73FCA"/>
    <w:rsid w:val="00D7446A"/>
    <w:rsid w:val="00D744F1"/>
    <w:rsid w:val="00D7478C"/>
    <w:rsid w:val="00D74868"/>
    <w:rsid w:val="00D7493E"/>
    <w:rsid w:val="00D749F1"/>
    <w:rsid w:val="00D74A5F"/>
    <w:rsid w:val="00D74B85"/>
    <w:rsid w:val="00D74CC9"/>
    <w:rsid w:val="00D74D87"/>
    <w:rsid w:val="00D74EEC"/>
    <w:rsid w:val="00D752DA"/>
    <w:rsid w:val="00D75310"/>
    <w:rsid w:val="00D75411"/>
    <w:rsid w:val="00D754BC"/>
    <w:rsid w:val="00D75643"/>
    <w:rsid w:val="00D756D9"/>
    <w:rsid w:val="00D7580E"/>
    <w:rsid w:val="00D75840"/>
    <w:rsid w:val="00D7587B"/>
    <w:rsid w:val="00D75A55"/>
    <w:rsid w:val="00D761C2"/>
    <w:rsid w:val="00D76574"/>
    <w:rsid w:val="00D765DF"/>
    <w:rsid w:val="00D76646"/>
    <w:rsid w:val="00D76828"/>
    <w:rsid w:val="00D76EE0"/>
    <w:rsid w:val="00D771A3"/>
    <w:rsid w:val="00D77211"/>
    <w:rsid w:val="00D7733F"/>
    <w:rsid w:val="00D77C4E"/>
    <w:rsid w:val="00D77E0B"/>
    <w:rsid w:val="00D77FBA"/>
    <w:rsid w:val="00D802BC"/>
    <w:rsid w:val="00D803C1"/>
    <w:rsid w:val="00D805B8"/>
    <w:rsid w:val="00D808A8"/>
    <w:rsid w:val="00D808D5"/>
    <w:rsid w:val="00D80E1D"/>
    <w:rsid w:val="00D80F08"/>
    <w:rsid w:val="00D81334"/>
    <w:rsid w:val="00D81488"/>
    <w:rsid w:val="00D81747"/>
    <w:rsid w:val="00D818BF"/>
    <w:rsid w:val="00D81ABF"/>
    <w:rsid w:val="00D81E31"/>
    <w:rsid w:val="00D823C8"/>
    <w:rsid w:val="00D831C8"/>
    <w:rsid w:val="00D8344D"/>
    <w:rsid w:val="00D836A9"/>
    <w:rsid w:val="00D836CE"/>
    <w:rsid w:val="00D837CF"/>
    <w:rsid w:val="00D839B9"/>
    <w:rsid w:val="00D83C2F"/>
    <w:rsid w:val="00D83D18"/>
    <w:rsid w:val="00D83EBB"/>
    <w:rsid w:val="00D84033"/>
    <w:rsid w:val="00D84053"/>
    <w:rsid w:val="00D84286"/>
    <w:rsid w:val="00D843D1"/>
    <w:rsid w:val="00D84473"/>
    <w:rsid w:val="00D84565"/>
    <w:rsid w:val="00D84606"/>
    <w:rsid w:val="00D8479A"/>
    <w:rsid w:val="00D848FC"/>
    <w:rsid w:val="00D84B59"/>
    <w:rsid w:val="00D84B5B"/>
    <w:rsid w:val="00D84C64"/>
    <w:rsid w:val="00D84E5B"/>
    <w:rsid w:val="00D84FAD"/>
    <w:rsid w:val="00D850FC"/>
    <w:rsid w:val="00D85335"/>
    <w:rsid w:val="00D8543D"/>
    <w:rsid w:val="00D8565A"/>
    <w:rsid w:val="00D85671"/>
    <w:rsid w:val="00D85759"/>
    <w:rsid w:val="00D85D56"/>
    <w:rsid w:val="00D86120"/>
    <w:rsid w:val="00D86258"/>
    <w:rsid w:val="00D86409"/>
    <w:rsid w:val="00D86672"/>
    <w:rsid w:val="00D86B86"/>
    <w:rsid w:val="00D8701D"/>
    <w:rsid w:val="00D8724A"/>
    <w:rsid w:val="00D87499"/>
    <w:rsid w:val="00D874EB"/>
    <w:rsid w:val="00D875CB"/>
    <w:rsid w:val="00D8796A"/>
    <w:rsid w:val="00D87A45"/>
    <w:rsid w:val="00D87B5D"/>
    <w:rsid w:val="00D902F6"/>
    <w:rsid w:val="00D90310"/>
    <w:rsid w:val="00D905C1"/>
    <w:rsid w:val="00D90777"/>
    <w:rsid w:val="00D90B3A"/>
    <w:rsid w:val="00D90B70"/>
    <w:rsid w:val="00D91002"/>
    <w:rsid w:val="00D912BC"/>
    <w:rsid w:val="00D913F6"/>
    <w:rsid w:val="00D91466"/>
    <w:rsid w:val="00D91790"/>
    <w:rsid w:val="00D918CC"/>
    <w:rsid w:val="00D91B9D"/>
    <w:rsid w:val="00D91C4A"/>
    <w:rsid w:val="00D91EA2"/>
    <w:rsid w:val="00D91F10"/>
    <w:rsid w:val="00D91FBD"/>
    <w:rsid w:val="00D92507"/>
    <w:rsid w:val="00D926BB"/>
    <w:rsid w:val="00D92795"/>
    <w:rsid w:val="00D92923"/>
    <w:rsid w:val="00D92CA0"/>
    <w:rsid w:val="00D93092"/>
    <w:rsid w:val="00D930D4"/>
    <w:rsid w:val="00D9325C"/>
    <w:rsid w:val="00D93570"/>
    <w:rsid w:val="00D937E2"/>
    <w:rsid w:val="00D93821"/>
    <w:rsid w:val="00D93AA2"/>
    <w:rsid w:val="00D93B11"/>
    <w:rsid w:val="00D93E8D"/>
    <w:rsid w:val="00D93E90"/>
    <w:rsid w:val="00D93F75"/>
    <w:rsid w:val="00D941AA"/>
    <w:rsid w:val="00D943DB"/>
    <w:rsid w:val="00D94467"/>
    <w:rsid w:val="00D944F0"/>
    <w:rsid w:val="00D9450E"/>
    <w:rsid w:val="00D946EE"/>
    <w:rsid w:val="00D9493F"/>
    <w:rsid w:val="00D949D4"/>
    <w:rsid w:val="00D94AFC"/>
    <w:rsid w:val="00D94B31"/>
    <w:rsid w:val="00D94D0D"/>
    <w:rsid w:val="00D94D28"/>
    <w:rsid w:val="00D94D5F"/>
    <w:rsid w:val="00D95237"/>
    <w:rsid w:val="00D95578"/>
    <w:rsid w:val="00D9572F"/>
    <w:rsid w:val="00D95A87"/>
    <w:rsid w:val="00D95B02"/>
    <w:rsid w:val="00D95B51"/>
    <w:rsid w:val="00D95C27"/>
    <w:rsid w:val="00D95E38"/>
    <w:rsid w:val="00D95E8D"/>
    <w:rsid w:val="00D961D7"/>
    <w:rsid w:val="00D96209"/>
    <w:rsid w:val="00D96367"/>
    <w:rsid w:val="00D9694E"/>
    <w:rsid w:val="00D96F27"/>
    <w:rsid w:val="00D97589"/>
    <w:rsid w:val="00D975FD"/>
    <w:rsid w:val="00D9777E"/>
    <w:rsid w:val="00D977FC"/>
    <w:rsid w:val="00D97C0A"/>
    <w:rsid w:val="00D97D27"/>
    <w:rsid w:val="00DA039B"/>
    <w:rsid w:val="00DA045E"/>
    <w:rsid w:val="00DA0ADF"/>
    <w:rsid w:val="00DA0B8F"/>
    <w:rsid w:val="00DA112B"/>
    <w:rsid w:val="00DA11BE"/>
    <w:rsid w:val="00DA12B4"/>
    <w:rsid w:val="00DA12F2"/>
    <w:rsid w:val="00DA131C"/>
    <w:rsid w:val="00DA1529"/>
    <w:rsid w:val="00DA1601"/>
    <w:rsid w:val="00DA16D4"/>
    <w:rsid w:val="00DA16DC"/>
    <w:rsid w:val="00DA17AA"/>
    <w:rsid w:val="00DA1AA1"/>
    <w:rsid w:val="00DA1B7C"/>
    <w:rsid w:val="00DA1C83"/>
    <w:rsid w:val="00DA2009"/>
    <w:rsid w:val="00DA2203"/>
    <w:rsid w:val="00DA22EE"/>
    <w:rsid w:val="00DA25A6"/>
    <w:rsid w:val="00DA26B9"/>
    <w:rsid w:val="00DA26E2"/>
    <w:rsid w:val="00DA27A3"/>
    <w:rsid w:val="00DA2841"/>
    <w:rsid w:val="00DA284E"/>
    <w:rsid w:val="00DA2867"/>
    <w:rsid w:val="00DA28DE"/>
    <w:rsid w:val="00DA2944"/>
    <w:rsid w:val="00DA2B30"/>
    <w:rsid w:val="00DA2BCE"/>
    <w:rsid w:val="00DA2D87"/>
    <w:rsid w:val="00DA316D"/>
    <w:rsid w:val="00DA31CC"/>
    <w:rsid w:val="00DA38A1"/>
    <w:rsid w:val="00DA39A4"/>
    <w:rsid w:val="00DA3AE2"/>
    <w:rsid w:val="00DA3B84"/>
    <w:rsid w:val="00DA3B94"/>
    <w:rsid w:val="00DA3BA7"/>
    <w:rsid w:val="00DA3BE4"/>
    <w:rsid w:val="00DA3CAA"/>
    <w:rsid w:val="00DA3F31"/>
    <w:rsid w:val="00DA407E"/>
    <w:rsid w:val="00DA409D"/>
    <w:rsid w:val="00DA45D3"/>
    <w:rsid w:val="00DA47DD"/>
    <w:rsid w:val="00DA4E31"/>
    <w:rsid w:val="00DA5028"/>
    <w:rsid w:val="00DA5077"/>
    <w:rsid w:val="00DA526E"/>
    <w:rsid w:val="00DA52F0"/>
    <w:rsid w:val="00DA547C"/>
    <w:rsid w:val="00DA59DF"/>
    <w:rsid w:val="00DA5EA3"/>
    <w:rsid w:val="00DA5EA8"/>
    <w:rsid w:val="00DA615F"/>
    <w:rsid w:val="00DA634D"/>
    <w:rsid w:val="00DA68F9"/>
    <w:rsid w:val="00DA69A5"/>
    <w:rsid w:val="00DA6CEB"/>
    <w:rsid w:val="00DA6D37"/>
    <w:rsid w:val="00DA6DB5"/>
    <w:rsid w:val="00DA6EF8"/>
    <w:rsid w:val="00DA6FBD"/>
    <w:rsid w:val="00DA6FEA"/>
    <w:rsid w:val="00DA70B6"/>
    <w:rsid w:val="00DA7136"/>
    <w:rsid w:val="00DA7301"/>
    <w:rsid w:val="00DA7423"/>
    <w:rsid w:val="00DA7466"/>
    <w:rsid w:val="00DA7610"/>
    <w:rsid w:val="00DA7627"/>
    <w:rsid w:val="00DA7AC4"/>
    <w:rsid w:val="00DB01BE"/>
    <w:rsid w:val="00DB0346"/>
    <w:rsid w:val="00DB0392"/>
    <w:rsid w:val="00DB053F"/>
    <w:rsid w:val="00DB06B1"/>
    <w:rsid w:val="00DB084A"/>
    <w:rsid w:val="00DB09DA"/>
    <w:rsid w:val="00DB0E5D"/>
    <w:rsid w:val="00DB1043"/>
    <w:rsid w:val="00DB13BE"/>
    <w:rsid w:val="00DB1419"/>
    <w:rsid w:val="00DB14EB"/>
    <w:rsid w:val="00DB152C"/>
    <w:rsid w:val="00DB1535"/>
    <w:rsid w:val="00DB16D4"/>
    <w:rsid w:val="00DB17E9"/>
    <w:rsid w:val="00DB1914"/>
    <w:rsid w:val="00DB1A71"/>
    <w:rsid w:val="00DB1C37"/>
    <w:rsid w:val="00DB209C"/>
    <w:rsid w:val="00DB2468"/>
    <w:rsid w:val="00DB25CC"/>
    <w:rsid w:val="00DB28B1"/>
    <w:rsid w:val="00DB293A"/>
    <w:rsid w:val="00DB2AB5"/>
    <w:rsid w:val="00DB2B83"/>
    <w:rsid w:val="00DB2CB2"/>
    <w:rsid w:val="00DB3139"/>
    <w:rsid w:val="00DB360D"/>
    <w:rsid w:val="00DB36EE"/>
    <w:rsid w:val="00DB37F0"/>
    <w:rsid w:val="00DB390B"/>
    <w:rsid w:val="00DB395C"/>
    <w:rsid w:val="00DB3CE4"/>
    <w:rsid w:val="00DB3DEA"/>
    <w:rsid w:val="00DB3EB5"/>
    <w:rsid w:val="00DB480D"/>
    <w:rsid w:val="00DB49C6"/>
    <w:rsid w:val="00DB4A6A"/>
    <w:rsid w:val="00DB4C8A"/>
    <w:rsid w:val="00DB4F1D"/>
    <w:rsid w:val="00DB55D1"/>
    <w:rsid w:val="00DB56BA"/>
    <w:rsid w:val="00DB56FC"/>
    <w:rsid w:val="00DB5A6E"/>
    <w:rsid w:val="00DB5B14"/>
    <w:rsid w:val="00DB614B"/>
    <w:rsid w:val="00DB6262"/>
    <w:rsid w:val="00DB6459"/>
    <w:rsid w:val="00DB6483"/>
    <w:rsid w:val="00DB6787"/>
    <w:rsid w:val="00DB681D"/>
    <w:rsid w:val="00DB68EE"/>
    <w:rsid w:val="00DB6939"/>
    <w:rsid w:val="00DB701B"/>
    <w:rsid w:val="00DB709F"/>
    <w:rsid w:val="00DB70E0"/>
    <w:rsid w:val="00DB70F3"/>
    <w:rsid w:val="00DB71E0"/>
    <w:rsid w:val="00DB752E"/>
    <w:rsid w:val="00DB77E7"/>
    <w:rsid w:val="00DB7AC5"/>
    <w:rsid w:val="00DB7B5F"/>
    <w:rsid w:val="00DB7D12"/>
    <w:rsid w:val="00DB7ED6"/>
    <w:rsid w:val="00DC01C3"/>
    <w:rsid w:val="00DC034A"/>
    <w:rsid w:val="00DC0359"/>
    <w:rsid w:val="00DC040B"/>
    <w:rsid w:val="00DC0459"/>
    <w:rsid w:val="00DC079A"/>
    <w:rsid w:val="00DC09C2"/>
    <w:rsid w:val="00DC118C"/>
    <w:rsid w:val="00DC14F6"/>
    <w:rsid w:val="00DC1890"/>
    <w:rsid w:val="00DC1939"/>
    <w:rsid w:val="00DC1977"/>
    <w:rsid w:val="00DC1A3D"/>
    <w:rsid w:val="00DC1B2E"/>
    <w:rsid w:val="00DC1C5B"/>
    <w:rsid w:val="00DC1CF6"/>
    <w:rsid w:val="00DC1CFE"/>
    <w:rsid w:val="00DC1D0A"/>
    <w:rsid w:val="00DC1EFF"/>
    <w:rsid w:val="00DC1F87"/>
    <w:rsid w:val="00DC2005"/>
    <w:rsid w:val="00DC20AA"/>
    <w:rsid w:val="00DC2259"/>
    <w:rsid w:val="00DC2410"/>
    <w:rsid w:val="00DC2519"/>
    <w:rsid w:val="00DC2577"/>
    <w:rsid w:val="00DC279B"/>
    <w:rsid w:val="00DC2ACF"/>
    <w:rsid w:val="00DC2BE7"/>
    <w:rsid w:val="00DC2BFD"/>
    <w:rsid w:val="00DC2C47"/>
    <w:rsid w:val="00DC2CA1"/>
    <w:rsid w:val="00DC2CAC"/>
    <w:rsid w:val="00DC2F63"/>
    <w:rsid w:val="00DC314D"/>
    <w:rsid w:val="00DC320E"/>
    <w:rsid w:val="00DC336E"/>
    <w:rsid w:val="00DC396B"/>
    <w:rsid w:val="00DC39E7"/>
    <w:rsid w:val="00DC3F20"/>
    <w:rsid w:val="00DC4140"/>
    <w:rsid w:val="00DC420E"/>
    <w:rsid w:val="00DC44D7"/>
    <w:rsid w:val="00DC45C0"/>
    <w:rsid w:val="00DC4800"/>
    <w:rsid w:val="00DC482A"/>
    <w:rsid w:val="00DC48FF"/>
    <w:rsid w:val="00DC495F"/>
    <w:rsid w:val="00DC4A19"/>
    <w:rsid w:val="00DC4D8E"/>
    <w:rsid w:val="00DC4EEA"/>
    <w:rsid w:val="00DC4FCF"/>
    <w:rsid w:val="00DC504E"/>
    <w:rsid w:val="00DC57A6"/>
    <w:rsid w:val="00DC5901"/>
    <w:rsid w:val="00DC5A58"/>
    <w:rsid w:val="00DC5D31"/>
    <w:rsid w:val="00DC5D97"/>
    <w:rsid w:val="00DC5E3E"/>
    <w:rsid w:val="00DC616D"/>
    <w:rsid w:val="00DC67AA"/>
    <w:rsid w:val="00DC68D4"/>
    <w:rsid w:val="00DC691F"/>
    <w:rsid w:val="00DC6A8D"/>
    <w:rsid w:val="00DC6B86"/>
    <w:rsid w:val="00DC6E16"/>
    <w:rsid w:val="00DC6EFE"/>
    <w:rsid w:val="00DC6F70"/>
    <w:rsid w:val="00DC6F8E"/>
    <w:rsid w:val="00DC7408"/>
    <w:rsid w:val="00DC7776"/>
    <w:rsid w:val="00DC7971"/>
    <w:rsid w:val="00DC7D0A"/>
    <w:rsid w:val="00DD0732"/>
    <w:rsid w:val="00DD0A26"/>
    <w:rsid w:val="00DD0A34"/>
    <w:rsid w:val="00DD0D45"/>
    <w:rsid w:val="00DD0D84"/>
    <w:rsid w:val="00DD0F53"/>
    <w:rsid w:val="00DD1124"/>
    <w:rsid w:val="00DD12FB"/>
    <w:rsid w:val="00DD1317"/>
    <w:rsid w:val="00DD134F"/>
    <w:rsid w:val="00DD14EE"/>
    <w:rsid w:val="00DD180C"/>
    <w:rsid w:val="00DD18F0"/>
    <w:rsid w:val="00DD1A56"/>
    <w:rsid w:val="00DD1C03"/>
    <w:rsid w:val="00DD1CF9"/>
    <w:rsid w:val="00DD1EDF"/>
    <w:rsid w:val="00DD1EF9"/>
    <w:rsid w:val="00DD2218"/>
    <w:rsid w:val="00DD24F8"/>
    <w:rsid w:val="00DD255B"/>
    <w:rsid w:val="00DD25C7"/>
    <w:rsid w:val="00DD267E"/>
    <w:rsid w:val="00DD26E3"/>
    <w:rsid w:val="00DD27D1"/>
    <w:rsid w:val="00DD2EE5"/>
    <w:rsid w:val="00DD2F8D"/>
    <w:rsid w:val="00DD31AC"/>
    <w:rsid w:val="00DD3214"/>
    <w:rsid w:val="00DD3248"/>
    <w:rsid w:val="00DD3938"/>
    <w:rsid w:val="00DD3B72"/>
    <w:rsid w:val="00DD4597"/>
    <w:rsid w:val="00DD489E"/>
    <w:rsid w:val="00DD48CB"/>
    <w:rsid w:val="00DD48DF"/>
    <w:rsid w:val="00DD4B73"/>
    <w:rsid w:val="00DD4C32"/>
    <w:rsid w:val="00DD4CF1"/>
    <w:rsid w:val="00DD4D38"/>
    <w:rsid w:val="00DD4ECF"/>
    <w:rsid w:val="00DD4FE0"/>
    <w:rsid w:val="00DD53B5"/>
    <w:rsid w:val="00DD53C1"/>
    <w:rsid w:val="00DD53FC"/>
    <w:rsid w:val="00DD573F"/>
    <w:rsid w:val="00DD576C"/>
    <w:rsid w:val="00DD585A"/>
    <w:rsid w:val="00DD58B4"/>
    <w:rsid w:val="00DD59F9"/>
    <w:rsid w:val="00DD5B1A"/>
    <w:rsid w:val="00DD5B28"/>
    <w:rsid w:val="00DD5E27"/>
    <w:rsid w:val="00DD617B"/>
    <w:rsid w:val="00DD62B6"/>
    <w:rsid w:val="00DD66ED"/>
    <w:rsid w:val="00DD6A92"/>
    <w:rsid w:val="00DD71F7"/>
    <w:rsid w:val="00DD72AF"/>
    <w:rsid w:val="00DD7314"/>
    <w:rsid w:val="00DD7351"/>
    <w:rsid w:val="00DD7560"/>
    <w:rsid w:val="00DD760F"/>
    <w:rsid w:val="00DD7651"/>
    <w:rsid w:val="00DD790F"/>
    <w:rsid w:val="00DD791D"/>
    <w:rsid w:val="00DD7A3A"/>
    <w:rsid w:val="00DD7B3C"/>
    <w:rsid w:val="00DD7C2A"/>
    <w:rsid w:val="00DD7C3C"/>
    <w:rsid w:val="00DD7ED3"/>
    <w:rsid w:val="00DE005D"/>
    <w:rsid w:val="00DE00FC"/>
    <w:rsid w:val="00DE0158"/>
    <w:rsid w:val="00DE0205"/>
    <w:rsid w:val="00DE0249"/>
    <w:rsid w:val="00DE076F"/>
    <w:rsid w:val="00DE07BA"/>
    <w:rsid w:val="00DE07DA"/>
    <w:rsid w:val="00DE08C9"/>
    <w:rsid w:val="00DE0B13"/>
    <w:rsid w:val="00DE0B6A"/>
    <w:rsid w:val="00DE0BBC"/>
    <w:rsid w:val="00DE0EE1"/>
    <w:rsid w:val="00DE10C4"/>
    <w:rsid w:val="00DE13DF"/>
    <w:rsid w:val="00DE1468"/>
    <w:rsid w:val="00DE1C39"/>
    <w:rsid w:val="00DE1D15"/>
    <w:rsid w:val="00DE1FD6"/>
    <w:rsid w:val="00DE20BC"/>
    <w:rsid w:val="00DE2120"/>
    <w:rsid w:val="00DE2197"/>
    <w:rsid w:val="00DE2221"/>
    <w:rsid w:val="00DE234B"/>
    <w:rsid w:val="00DE2685"/>
    <w:rsid w:val="00DE29C2"/>
    <w:rsid w:val="00DE2C53"/>
    <w:rsid w:val="00DE2E98"/>
    <w:rsid w:val="00DE2EF7"/>
    <w:rsid w:val="00DE3143"/>
    <w:rsid w:val="00DE3184"/>
    <w:rsid w:val="00DE34D3"/>
    <w:rsid w:val="00DE3596"/>
    <w:rsid w:val="00DE37CC"/>
    <w:rsid w:val="00DE3A20"/>
    <w:rsid w:val="00DE3ACE"/>
    <w:rsid w:val="00DE3BC4"/>
    <w:rsid w:val="00DE3C58"/>
    <w:rsid w:val="00DE3E97"/>
    <w:rsid w:val="00DE3FD7"/>
    <w:rsid w:val="00DE4261"/>
    <w:rsid w:val="00DE4265"/>
    <w:rsid w:val="00DE4372"/>
    <w:rsid w:val="00DE47FD"/>
    <w:rsid w:val="00DE4A6D"/>
    <w:rsid w:val="00DE4A77"/>
    <w:rsid w:val="00DE4AC2"/>
    <w:rsid w:val="00DE4CB1"/>
    <w:rsid w:val="00DE4DC7"/>
    <w:rsid w:val="00DE4E29"/>
    <w:rsid w:val="00DE514F"/>
    <w:rsid w:val="00DE5872"/>
    <w:rsid w:val="00DE59C3"/>
    <w:rsid w:val="00DE5BD7"/>
    <w:rsid w:val="00DE5CCE"/>
    <w:rsid w:val="00DE5D3F"/>
    <w:rsid w:val="00DE5F09"/>
    <w:rsid w:val="00DE6178"/>
    <w:rsid w:val="00DE6220"/>
    <w:rsid w:val="00DE6419"/>
    <w:rsid w:val="00DE6422"/>
    <w:rsid w:val="00DE65BD"/>
    <w:rsid w:val="00DE66AF"/>
    <w:rsid w:val="00DE66B0"/>
    <w:rsid w:val="00DE6B36"/>
    <w:rsid w:val="00DE6B3D"/>
    <w:rsid w:val="00DE6BF1"/>
    <w:rsid w:val="00DE6C1D"/>
    <w:rsid w:val="00DE6D6A"/>
    <w:rsid w:val="00DE6DB2"/>
    <w:rsid w:val="00DE6E02"/>
    <w:rsid w:val="00DE6E33"/>
    <w:rsid w:val="00DE6F3B"/>
    <w:rsid w:val="00DE736E"/>
    <w:rsid w:val="00DE73BA"/>
    <w:rsid w:val="00DE73CB"/>
    <w:rsid w:val="00DE7446"/>
    <w:rsid w:val="00DE76E6"/>
    <w:rsid w:val="00DE79BF"/>
    <w:rsid w:val="00DE7D9C"/>
    <w:rsid w:val="00DE7E1A"/>
    <w:rsid w:val="00DE7E56"/>
    <w:rsid w:val="00DE7E66"/>
    <w:rsid w:val="00DE7FD4"/>
    <w:rsid w:val="00DF0037"/>
    <w:rsid w:val="00DF0419"/>
    <w:rsid w:val="00DF04E7"/>
    <w:rsid w:val="00DF0516"/>
    <w:rsid w:val="00DF0781"/>
    <w:rsid w:val="00DF0A9B"/>
    <w:rsid w:val="00DF0D11"/>
    <w:rsid w:val="00DF10EA"/>
    <w:rsid w:val="00DF1628"/>
    <w:rsid w:val="00DF16D1"/>
    <w:rsid w:val="00DF1762"/>
    <w:rsid w:val="00DF1825"/>
    <w:rsid w:val="00DF2077"/>
    <w:rsid w:val="00DF2110"/>
    <w:rsid w:val="00DF221A"/>
    <w:rsid w:val="00DF2256"/>
    <w:rsid w:val="00DF237E"/>
    <w:rsid w:val="00DF25DE"/>
    <w:rsid w:val="00DF26F2"/>
    <w:rsid w:val="00DF292A"/>
    <w:rsid w:val="00DF29EB"/>
    <w:rsid w:val="00DF2E4C"/>
    <w:rsid w:val="00DF2FF3"/>
    <w:rsid w:val="00DF3092"/>
    <w:rsid w:val="00DF30D2"/>
    <w:rsid w:val="00DF3106"/>
    <w:rsid w:val="00DF3115"/>
    <w:rsid w:val="00DF3160"/>
    <w:rsid w:val="00DF31A7"/>
    <w:rsid w:val="00DF31BF"/>
    <w:rsid w:val="00DF32BB"/>
    <w:rsid w:val="00DF3613"/>
    <w:rsid w:val="00DF3743"/>
    <w:rsid w:val="00DF3764"/>
    <w:rsid w:val="00DF37E2"/>
    <w:rsid w:val="00DF38B2"/>
    <w:rsid w:val="00DF3CE3"/>
    <w:rsid w:val="00DF3D23"/>
    <w:rsid w:val="00DF3DAA"/>
    <w:rsid w:val="00DF3DDF"/>
    <w:rsid w:val="00DF411E"/>
    <w:rsid w:val="00DF41CC"/>
    <w:rsid w:val="00DF41D5"/>
    <w:rsid w:val="00DF4313"/>
    <w:rsid w:val="00DF4406"/>
    <w:rsid w:val="00DF45CB"/>
    <w:rsid w:val="00DF46AC"/>
    <w:rsid w:val="00DF4827"/>
    <w:rsid w:val="00DF4A65"/>
    <w:rsid w:val="00DF4C6F"/>
    <w:rsid w:val="00DF4E5C"/>
    <w:rsid w:val="00DF50DD"/>
    <w:rsid w:val="00DF5392"/>
    <w:rsid w:val="00DF53CE"/>
    <w:rsid w:val="00DF5506"/>
    <w:rsid w:val="00DF5579"/>
    <w:rsid w:val="00DF578E"/>
    <w:rsid w:val="00DF5C23"/>
    <w:rsid w:val="00DF5DCB"/>
    <w:rsid w:val="00DF5FEE"/>
    <w:rsid w:val="00DF61AC"/>
    <w:rsid w:val="00DF622C"/>
    <w:rsid w:val="00DF6264"/>
    <w:rsid w:val="00DF62D2"/>
    <w:rsid w:val="00DF65C3"/>
    <w:rsid w:val="00DF6B7F"/>
    <w:rsid w:val="00DF6C7F"/>
    <w:rsid w:val="00DF6E0F"/>
    <w:rsid w:val="00DF6F4B"/>
    <w:rsid w:val="00DF71FC"/>
    <w:rsid w:val="00DF750F"/>
    <w:rsid w:val="00DF7594"/>
    <w:rsid w:val="00DF7875"/>
    <w:rsid w:val="00DF799A"/>
    <w:rsid w:val="00DF7A94"/>
    <w:rsid w:val="00DF7B28"/>
    <w:rsid w:val="00DF7BDA"/>
    <w:rsid w:val="00DF7EEC"/>
    <w:rsid w:val="00E000AA"/>
    <w:rsid w:val="00E00114"/>
    <w:rsid w:val="00E003ED"/>
    <w:rsid w:val="00E00604"/>
    <w:rsid w:val="00E0075B"/>
    <w:rsid w:val="00E007FE"/>
    <w:rsid w:val="00E008A9"/>
    <w:rsid w:val="00E00A47"/>
    <w:rsid w:val="00E00AAE"/>
    <w:rsid w:val="00E00FBB"/>
    <w:rsid w:val="00E01200"/>
    <w:rsid w:val="00E0173E"/>
    <w:rsid w:val="00E01D07"/>
    <w:rsid w:val="00E01F03"/>
    <w:rsid w:val="00E02249"/>
    <w:rsid w:val="00E022D2"/>
    <w:rsid w:val="00E02547"/>
    <w:rsid w:val="00E02AC6"/>
    <w:rsid w:val="00E02AE8"/>
    <w:rsid w:val="00E02B24"/>
    <w:rsid w:val="00E02D33"/>
    <w:rsid w:val="00E0322A"/>
    <w:rsid w:val="00E036E6"/>
    <w:rsid w:val="00E0384C"/>
    <w:rsid w:val="00E038AE"/>
    <w:rsid w:val="00E03A6B"/>
    <w:rsid w:val="00E03BFB"/>
    <w:rsid w:val="00E03CC5"/>
    <w:rsid w:val="00E03D36"/>
    <w:rsid w:val="00E03D8A"/>
    <w:rsid w:val="00E04168"/>
    <w:rsid w:val="00E0424D"/>
    <w:rsid w:val="00E04310"/>
    <w:rsid w:val="00E04869"/>
    <w:rsid w:val="00E04B95"/>
    <w:rsid w:val="00E04D43"/>
    <w:rsid w:val="00E04F25"/>
    <w:rsid w:val="00E05034"/>
    <w:rsid w:val="00E05285"/>
    <w:rsid w:val="00E05376"/>
    <w:rsid w:val="00E053F8"/>
    <w:rsid w:val="00E05565"/>
    <w:rsid w:val="00E05850"/>
    <w:rsid w:val="00E05A40"/>
    <w:rsid w:val="00E05CF1"/>
    <w:rsid w:val="00E05D5C"/>
    <w:rsid w:val="00E05DF5"/>
    <w:rsid w:val="00E05FFE"/>
    <w:rsid w:val="00E060F5"/>
    <w:rsid w:val="00E06468"/>
    <w:rsid w:val="00E0679A"/>
    <w:rsid w:val="00E068F1"/>
    <w:rsid w:val="00E06B7D"/>
    <w:rsid w:val="00E06C9B"/>
    <w:rsid w:val="00E06E00"/>
    <w:rsid w:val="00E07021"/>
    <w:rsid w:val="00E073C2"/>
    <w:rsid w:val="00E0750A"/>
    <w:rsid w:val="00E07770"/>
    <w:rsid w:val="00E07972"/>
    <w:rsid w:val="00E07AC7"/>
    <w:rsid w:val="00E07ADB"/>
    <w:rsid w:val="00E100AC"/>
    <w:rsid w:val="00E102A2"/>
    <w:rsid w:val="00E102F0"/>
    <w:rsid w:val="00E10533"/>
    <w:rsid w:val="00E107B3"/>
    <w:rsid w:val="00E1089B"/>
    <w:rsid w:val="00E10AA9"/>
    <w:rsid w:val="00E10E93"/>
    <w:rsid w:val="00E10F44"/>
    <w:rsid w:val="00E1101C"/>
    <w:rsid w:val="00E11343"/>
    <w:rsid w:val="00E118AA"/>
    <w:rsid w:val="00E118DB"/>
    <w:rsid w:val="00E1196C"/>
    <w:rsid w:val="00E11B5E"/>
    <w:rsid w:val="00E11B77"/>
    <w:rsid w:val="00E11ED5"/>
    <w:rsid w:val="00E121F7"/>
    <w:rsid w:val="00E1225D"/>
    <w:rsid w:val="00E122D5"/>
    <w:rsid w:val="00E1249F"/>
    <w:rsid w:val="00E12515"/>
    <w:rsid w:val="00E1259B"/>
    <w:rsid w:val="00E12814"/>
    <w:rsid w:val="00E12912"/>
    <w:rsid w:val="00E129EA"/>
    <w:rsid w:val="00E12BD5"/>
    <w:rsid w:val="00E12D75"/>
    <w:rsid w:val="00E12D7E"/>
    <w:rsid w:val="00E130BA"/>
    <w:rsid w:val="00E131DA"/>
    <w:rsid w:val="00E13273"/>
    <w:rsid w:val="00E135E6"/>
    <w:rsid w:val="00E13BD1"/>
    <w:rsid w:val="00E13EEC"/>
    <w:rsid w:val="00E13F01"/>
    <w:rsid w:val="00E1429E"/>
    <w:rsid w:val="00E14681"/>
    <w:rsid w:val="00E14EDE"/>
    <w:rsid w:val="00E1530E"/>
    <w:rsid w:val="00E1533A"/>
    <w:rsid w:val="00E154BB"/>
    <w:rsid w:val="00E1553B"/>
    <w:rsid w:val="00E15555"/>
    <w:rsid w:val="00E1584D"/>
    <w:rsid w:val="00E158FA"/>
    <w:rsid w:val="00E159F1"/>
    <w:rsid w:val="00E15AFC"/>
    <w:rsid w:val="00E15C60"/>
    <w:rsid w:val="00E15C65"/>
    <w:rsid w:val="00E15C7C"/>
    <w:rsid w:val="00E15DBD"/>
    <w:rsid w:val="00E15E43"/>
    <w:rsid w:val="00E1612D"/>
    <w:rsid w:val="00E161CA"/>
    <w:rsid w:val="00E1652D"/>
    <w:rsid w:val="00E16549"/>
    <w:rsid w:val="00E1663B"/>
    <w:rsid w:val="00E16845"/>
    <w:rsid w:val="00E16933"/>
    <w:rsid w:val="00E16C1E"/>
    <w:rsid w:val="00E16E53"/>
    <w:rsid w:val="00E16E63"/>
    <w:rsid w:val="00E16F7F"/>
    <w:rsid w:val="00E17298"/>
    <w:rsid w:val="00E176F2"/>
    <w:rsid w:val="00E17A43"/>
    <w:rsid w:val="00E17E14"/>
    <w:rsid w:val="00E203AF"/>
    <w:rsid w:val="00E20769"/>
    <w:rsid w:val="00E209FE"/>
    <w:rsid w:val="00E20E5A"/>
    <w:rsid w:val="00E2101B"/>
    <w:rsid w:val="00E21612"/>
    <w:rsid w:val="00E21756"/>
    <w:rsid w:val="00E219B6"/>
    <w:rsid w:val="00E219D8"/>
    <w:rsid w:val="00E21A8E"/>
    <w:rsid w:val="00E21B29"/>
    <w:rsid w:val="00E21BFA"/>
    <w:rsid w:val="00E21C7B"/>
    <w:rsid w:val="00E2218A"/>
    <w:rsid w:val="00E223D2"/>
    <w:rsid w:val="00E223E3"/>
    <w:rsid w:val="00E22403"/>
    <w:rsid w:val="00E227E3"/>
    <w:rsid w:val="00E228E0"/>
    <w:rsid w:val="00E228F5"/>
    <w:rsid w:val="00E2293C"/>
    <w:rsid w:val="00E2293D"/>
    <w:rsid w:val="00E22A26"/>
    <w:rsid w:val="00E22A52"/>
    <w:rsid w:val="00E22A8C"/>
    <w:rsid w:val="00E22B5D"/>
    <w:rsid w:val="00E22D37"/>
    <w:rsid w:val="00E22DC1"/>
    <w:rsid w:val="00E22ECB"/>
    <w:rsid w:val="00E2326E"/>
    <w:rsid w:val="00E2330C"/>
    <w:rsid w:val="00E2354E"/>
    <w:rsid w:val="00E23973"/>
    <w:rsid w:val="00E23B9E"/>
    <w:rsid w:val="00E23C81"/>
    <w:rsid w:val="00E23D0F"/>
    <w:rsid w:val="00E24150"/>
    <w:rsid w:val="00E2419E"/>
    <w:rsid w:val="00E241FF"/>
    <w:rsid w:val="00E242E9"/>
    <w:rsid w:val="00E24351"/>
    <w:rsid w:val="00E24422"/>
    <w:rsid w:val="00E245AF"/>
    <w:rsid w:val="00E2464E"/>
    <w:rsid w:val="00E2514F"/>
    <w:rsid w:val="00E25259"/>
    <w:rsid w:val="00E25288"/>
    <w:rsid w:val="00E253B4"/>
    <w:rsid w:val="00E2547A"/>
    <w:rsid w:val="00E256E3"/>
    <w:rsid w:val="00E25744"/>
    <w:rsid w:val="00E25752"/>
    <w:rsid w:val="00E2575B"/>
    <w:rsid w:val="00E25862"/>
    <w:rsid w:val="00E258FC"/>
    <w:rsid w:val="00E25B40"/>
    <w:rsid w:val="00E25BAE"/>
    <w:rsid w:val="00E25D27"/>
    <w:rsid w:val="00E25DEF"/>
    <w:rsid w:val="00E25E0D"/>
    <w:rsid w:val="00E25F6C"/>
    <w:rsid w:val="00E261EC"/>
    <w:rsid w:val="00E263F2"/>
    <w:rsid w:val="00E264A7"/>
    <w:rsid w:val="00E266FC"/>
    <w:rsid w:val="00E26AD9"/>
    <w:rsid w:val="00E26B31"/>
    <w:rsid w:val="00E26F58"/>
    <w:rsid w:val="00E27060"/>
    <w:rsid w:val="00E27120"/>
    <w:rsid w:val="00E271BD"/>
    <w:rsid w:val="00E27210"/>
    <w:rsid w:val="00E27593"/>
    <w:rsid w:val="00E27799"/>
    <w:rsid w:val="00E27808"/>
    <w:rsid w:val="00E27E77"/>
    <w:rsid w:val="00E27F8D"/>
    <w:rsid w:val="00E30012"/>
    <w:rsid w:val="00E30118"/>
    <w:rsid w:val="00E3063C"/>
    <w:rsid w:val="00E30911"/>
    <w:rsid w:val="00E30B87"/>
    <w:rsid w:val="00E30C8D"/>
    <w:rsid w:val="00E313F7"/>
    <w:rsid w:val="00E31456"/>
    <w:rsid w:val="00E31482"/>
    <w:rsid w:val="00E3178D"/>
    <w:rsid w:val="00E31AFB"/>
    <w:rsid w:val="00E31B14"/>
    <w:rsid w:val="00E31B95"/>
    <w:rsid w:val="00E31CBE"/>
    <w:rsid w:val="00E31E51"/>
    <w:rsid w:val="00E323DD"/>
    <w:rsid w:val="00E32685"/>
    <w:rsid w:val="00E3269D"/>
    <w:rsid w:val="00E3295A"/>
    <w:rsid w:val="00E32D67"/>
    <w:rsid w:val="00E32F49"/>
    <w:rsid w:val="00E3339D"/>
    <w:rsid w:val="00E334A8"/>
    <w:rsid w:val="00E3389E"/>
    <w:rsid w:val="00E33AD9"/>
    <w:rsid w:val="00E33B1D"/>
    <w:rsid w:val="00E33BF4"/>
    <w:rsid w:val="00E33DB2"/>
    <w:rsid w:val="00E33E10"/>
    <w:rsid w:val="00E33FBB"/>
    <w:rsid w:val="00E33FEA"/>
    <w:rsid w:val="00E342C7"/>
    <w:rsid w:val="00E3453D"/>
    <w:rsid w:val="00E346C6"/>
    <w:rsid w:val="00E34ACB"/>
    <w:rsid w:val="00E34C9E"/>
    <w:rsid w:val="00E34CE6"/>
    <w:rsid w:val="00E34D1D"/>
    <w:rsid w:val="00E34FC2"/>
    <w:rsid w:val="00E350CC"/>
    <w:rsid w:val="00E351DC"/>
    <w:rsid w:val="00E354AD"/>
    <w:rsid w:val="00E354B5"/>
    <w:rsid w:val="00E354FD"/>
    <w:rsid w:val="00E3556E"/>
    <w:rsid w:val="00E3590E"/>
    <w:rsid w:val="00E3595A"/>
    <w:rsid w:val="00E359D4"/>
    <w:rsid w:val="00E35B46"/>
    <w:rsid w:val="00E35F8A"/>
    <w:rsid w:val="00E36057"/>
    <w:rsid w:val="00E362F6"/>
    <w:rsid w:val="00E3640B"/>
    <w:rsid w:val="00E364AB"/>
    <w:rsid w:val="00E36711"/>
    <w:rsid w:val="00E367A9"/>
    <w:rsid w:val="00E36926"/>
    <w:rsid w:val="00E369C6"/>
    <w:rsid w:val="00E369CC"/>
    <w:rsid w:val="00E36B7D"/>
    <w:rsid w:val="00E36CC1"/>
    <w:rsid w:val="00E36D42"/>
    <w:rsid w:val="00E36EDE"/>
    <w:rsid w:val="00E36F27"/>
    <w:rsid w:val="00E36F38"/>
    <w:rsid w:val="00E370F8"/>
    <w:rsid w:val="00E372D8"/>
    <w:rsid w:val="00E37317"/>
    <w:rsid w:val="00E373F3"/>
    <w:rsid w:val="00E377A2"/>
    <w:rsid w:val="00E3781F"/>
    <w:rsid w:val="00E37AA2"/>
    <w:rsid w:val="00E37E47"/>
    <w:rsid w:val="00E4030F"/>
    <w:rsid w:val="00E40534"/>
    <w:rsid w:val="00E40A9F"/>
    <w:rsid w:val="00E40C15"/>
    <w:rsid w:val="00E40CB7"/>
    <w:rsid w:val="00E40D86"/>
    <w:rsid w:val="00E40D8D"/>
    <w:rsid w:val="00E40FC7"/>
    <w:rsid w:val="00E40FE4"/>
    <w:rsid w:val="00E41042"/>
    <w:rsid w:val="00E410D8"/>
    <w:rsid w:val="00E411B3"/>
    <w:rsid w:val="00E413AD"/>
    <w:rsid w:val="00E41490"/>
    <w:rsid w:val="00E41653"/>
    <w:rsid w:val="00E4175E"/>
    <w:rsid w:val="00E417A6"/>
    <w:rsid w:val="00E418DB"/>
    <w:rsid w:val="00E419C0"/>
    <w:rsid w:val="00E41B2D"/>
    <w:rsid w:val="00E41D86"/>
    <w:rsid w:val="00E41F86"/>
    <w:rsid w:val="00E4202B"/>
    <w:rsid w:val="00E42154"/>
    <w:rsid w:val="00E42440"/>
    <w:rsid w:val="00E42527"/>
    <w:rsid w:val="00E426D1"/>
    <w:rsid w:val="00E4292F"/>
    <w:rsid w:val="00E42C41"/>
    <w:rsid w:val="00E42D95"/>
    <w:rsid w:val="00E42F4F"/>
    <w:rsid w:val="00E43345"/>
    <w:rsid w:val="00E43719"/>
    <w:rsid w:val="00E437E9"/>
    <w:rsid w:val="00E43838"/>
    <w:rsid w:val="00E43912"/>
    <w:rsid w:val="00E43BD0"/>
    <w:rsid w:val="00E43BFB"/>
    <w:rsid w:val="00E43C0A"/>
    <w:rsid w:val="00E43C85"/>
    <w:rsid w:val="00E43E06"/>
    <w:rsid w:val="00E43E68"/>
    <w:rsid w:val="00E44104"/>
    <w:rsid w:val="00E44394"/>
    <w:rsid w:val="00E44482"/>
    <w:rsid w:val="00E44555"/>
    <w:rsid w:val="00E44921"/>
    <w:rsid w:val="00E44949"/>
    <w:rsid w:val="00E44D67"/>
    <w:rsid w:val="00E44E71"/>
    <w:rsid w:val="00E44E7B"/>
    <w:rsid w:val="00E44F3F"/>
    <w:rsid w:val="00E44F71"/>
    <w:rsid w:val="00E44FEF"/>
    <w:rsid w:val="00E45075"/>
    <w:rsid w:val="00E453FF"/>
    <w:rsid w:val="00E4552C"/>
    <w:rsid w:val="00E4557B"/>
    <w:rsid w:val="00E455D4"/>
    <w:rsid w:val="00E456C7"/>
    <w:rsid w:val="00E45986"/>
    <w:rsid w:val="00E45A34"/>
    <w:rsid w:val="00E45A3B"/>
    <w:rsid w:val="00E46135"/>
    <w:rsid w:val="00E4671F"/>
    <w:rsid w:val="00E46B42"/>
    <w:rsid w:val="00E46B96"/>
    <w:rsid w:val="00E46D09"/>
    <w:rsid w:val="00E46FA5"/>
    <w:rsid w:val="00E47144"/>
    <w:rsid w:val="00E4760B"/>
    <w:rsid w:val="00E47F2C"/>
    <w:rsid w:val="00E47FF7"/>
    <w:rsid w:val="00E50048"/>
    <w:rsid w:val="00E5015B"/>
    <w:rsid w:val="00E503B1"/>
    <w:rsid w:val="00E504BA"/>
    <w:rsid w:val="00E504D2"/>
    <w:rsid w:val="00E504F7"/>
    <w:rsid w:val="00E505E0"/>
    <w:rsid w:val="00E507DA"/>
    <w:rsid w:val="00E50895"/>
    <w:rsid w:val="00E50977"/>
    <w:rsid w:val="00E50B68"/>
    <w:rsid w:val="00E51551"/>
    <w:rsid w:val="00E515E7"/>
    <w:rsid w:val="00E5165C"/>
    <w:rsid w:val="00E518C3"/>
    <w:rsid w:val="00E518D2"/>
    <w:rsid w:val="00E5195E"/>
    <w:rsid w:val="00E51986"/>
    <w:rsid w:val="00E51AD6"/>
    <w:rsid w:val="00E51CF9"/>
    <w:rsid w:val="00E51D82"/>
    <w:rsid w:val="00E51E03"/>
    <w:rsid w:val="00E51F0F"/>
    <w:rsid w:val="00E51F1F"/>
    <w:rsid w:val="00E5208F"/>
    <w:rsid w:val="00E5215E"/>
    <w:rsid w:val="00E52178"/>
    <w:rsid w:val="00E52235"/>
    <w:rsid w:val="00E5261D"/>
    <w:rsid w:val="00E52D28"/>
    <w:rsid w:val="00E53490"/>
    <w:rsid w:val="00E536A7"/>
    <w:rsid w:val="00E536B3"/>
    <w:rsid w:val="00E53701"/>
    <w:rsid w:val="00E53974"/>
    <w:rsid w:val="00E53A57"/>
    <w:rsid w:val="00E53A87"/>
    <w:rsid w:val="00E53D83"/>
    <w:rsid w:val="00E5400A"/>
    <w:rsid w:val="00E540F0"/>
    <w:rsid w:val="00E54389"/>
    <w:rsid w:val="00E54495"/>
    <w:rsid w:val="00E544D2"/>
    <w:rsid w:val="00E5474D"/>
    <w:rsid w:val="00E547D2"/>
    <w:rsid w:val="00E549E4"/>
    <w:rsid w:val="00E54D9E"/>
    <w:rsid w:val="00E54FCA"/>
    <w:rsid w:val="00E55171"/>
    <w:rsid w:val="00E55384"/>
    <w:rsid w:val="00E555ED"/>
    <w:rsid w:val="00E559CE"/>
    <w:rsid w:val="00E55A8F"/>
    <w:rsid w:val="00E55AE0"/>
    <w:rsid w:val="00E55BFB"/>
    <w:rsid w:val="00E55D8D"/>
    <w:rsid w:val="00E560DE"/>
    <w:rsid w:val="00E5624B"/>
    <w:rsid w:val="00E56255"/>
    <w:rsid w:val="00E5665B"/>
    <w:rsid w:val="00E5670E"/>
    <w:rsid w:val="00E5677F"/>
    <w:rsid w:val="00E567A5"/>
    <w:rsid w:val="00E567C5"/>
    <w:rsid w:val="00E5680B"/>
    <w:rsid w:val="00E56875"/>
    <w:rsid w:val="00E56A32"/>
    <w:rsid w:val="00E56ABB"/>
    <w:rsid w:val="00E56B45"/>
    <w:rsid w:val="00E56BBB"/>
    <w:rsid w:val="00E56C87"/>
    <w:rsid w:val="00E56CFA"/>
    <w:rsid w:val="00E573C2"/>
    <w:rsid w:val="00E575C2"/>
    <w:rsid w:val="00E5769F"/>
    <w:rsid w:val="00E57954"/>
    <w:rsid w:val="00E57D46"/>
    <w:rsid w:val="00E57E37"/>
    <w:rsid w:val="00E57E75"/>
    <w:rsid w:val="00E57EB5"/>
    <w:rsid w:val="00E60508"/>
    <w:rsid w:val="00E60523"/>
    <w:rsid w:val="00E605E3"/>
    <w:rsid w:val="00E605FE"/>
    <w:rsid w:val="00E608E5"/>
    <w:rsid w:val="00E60A7B"/>
    <w:rsid w:val="00E60B8B"/>
    <w:rsid w:val="00E60C74"/>
    <w:rsid w:val="00E60D9B"/>
    <w:rsid w:val="00E60DAF"/>
    <w:rsid w:val="00E60DDA"/>
    <w:rsid w:val="00E61029"/>
    <w:rsid w:val="00E611AB"/>
    <w:rsid w:val="00E61268"/>
    <w:rsid w:val="00E61472"/>
    <w:rsid w:val="00E61525"/>
    <w:rsid w:val="00E618A1"/>
    <w:rsid w:val="00E61AE7"/>
    <w:rsid w:val="00E61DBC"/>
    <w:rsid w:val="00E61E97"/>
    <w:rsid w:val="00E61F1F"/>
    <w:rsid w:val="00E61FF0"/>
    <w:rsid w:val="00E6201E"/>
    <w:rsid w:val="00E622F8"/>
    <w:rsid w:val="00E6275F"/>
    <w:rsid w:val="00E62C8C"/>
    <w:rsid w:val="00E62F16"/>
    <w:rsid w:val="00E63134"/>
    <w:rsid w:val="00E631CE"/>
    <w:rsid w:val="00E63322"/>
    <w:rsid w:val="00E63A47"/>
    <w:rsid w:val="00E63A74"/>
    <w:rsid w:val="00E63BF7"/>
    <w:rsid w:val="00E63C8E"/>
    <w:rsid w:val="00E63FDA"/>
    <w:rsid w:val="00E64226"/>
    <w:rsid w:val="00E644D7"/>
    <w:rsid w:val="00E644DD"/>
    <w:rsid w:val="00E646F4"/>
    <w:rsid w:val="00E64A1A"/>
    <w:rsid w:val="00E64BBB"/>
    <w:rsid w:val="00E64BCC"/>
    <w:rsid w:val="00E64C10"/>
    <w:rsid w:val="00E64E25"/>
    <w:rsid w:val="00E64F33"/>
    <w:rsid w:val="00E64F5E"/>
    <w:rsid w:val="00E65682"/>
    <w:rsid w:val="00E65861"/>
    <w:rsid w:val="00E65865"/>
    <w:rsid w:val="00E65B58"/>
    <w:rsid w:val="00E65ECC"/>
    <w:rsid w:val="00E66009"/>
    <w:rsid w:val="00E6612C"/>
    <w:rsid w:val="00E66420"/>
    <w:rsid w:val="00E664E6"/>
    <w:rsid w:val="00E66533"/>
    <w:rsid w:val="00E66963"/>
    <w:rsid w:val="00E672CD"/>
    <w:rsid w:val="00E67334"/>
    <w:rsid w:val="00E674BB"/>
    <w:rsid w:val="00E6758C"/>
    <w:rsid w:val="00E67A05"/>
    <w:rsid w:val="00E67C4B"/>
    <w:rsid w:val="00E703D7"/>
    <w:rsid w:val="00E704DF"/>
    <w:rsid w:val="00E705F1"/>
    <w:rsid w:val="00E707A4"/>
    <w:rsid w:val="00E707A6"/>
    <w:rsid w:val="00E709BD"/>
    <w:rsid w:val="00E70ACE"/>
    <w:rsid w:val="00E70AFD"/>
    <w:rsid w:val="00E70B70"/>
    <w:rsid w:val="00E70DF2"/>
    <w:rsid w:val="00E71216"/>
    <w:rsid w:val="00E7153F"/>
    <w:rsid w:val="00E715E4"/>
    <w:rsid w:val="00E7187A"/>
    <w:rsid w:val="00E71A3F"/>
    <w:rsid w:val="00E71A97"/>
    <w:rsid w:val="00E71BFA"/>
    <w:rsid w:val="00E71C1C"/>
    <w:rsid w:val="00E71F14"/>
    <w:rsid w:val="00E7226E"/>
    <w:rsid w:val="00E726B5"/>
    <w:rsid w:val="00E728A5"/>
    <w:rsid w:val="00E728E5"/>
    <w:rsid w:val="00E72910"/>
    <w:rsid w:val="00E72DE6"/>
    <w:rsid w:val="00E72F85"/>
    <w:rsid w:val="00E7324A"/>
    <w:rsid w:val="00E73260"/>
    <w:rsid w:val="00E7356C"/>
    <w:rsid w:val="00E73766"/>
    <w:rsid w:val="00E73ACD"/>
    <w:rsid w:val="00E73B55"/>
    <w:rsid w:val="00E73C5C"/>
    <w:rsid w:val="00E73FA3"/>
    <w:rsid w:val="00E73FCE"/>
    <w:rsid w:val="00E74557"/>
    <w:rsid w:val="00E7491A"/>
    <w:rsid w:val="00E74A65"/>
    <w:rsid w:val="00E74B35"/>
    <w:rsid w:val="00E74D5A"/>
    <w:rsid w:val="00E74E10"/>
    <w:rsid w:val="00E7513B"/>
    <w:rsid w:val="00E7531B"/>
    <w:rsid w:val="00E753AB"/>
    <w:rsid w:val="00E7548C"/>
    <w:rsid w:val="00E755A7"/>
    <w:rsid w:val="00E755B8"/>
    <w:rsid w:val="00E7568D"/>
    <w:rsid w:val="00E75784"/>
    <w:rsid w:val="00E75CE4"/>
    <w:rsid w:val="00E75D4A"/>
    <w:rsid w:val="00E75DD4"/>
    <w:rsid w:val="00E7640E"/>
    <w:rsid w:val="00E7643D"/>
    <w:rsid w:val="00E76553"/>
    <w:rsid w:val="00E7661B"/>
    <w:rsid w:val="00E7664C"/>
    <w:rsid w:val="00E766C6"/>
    <w:rsid w:val="00E76708"/>
    <w:rsid w:val="00E768EA"/>
    <w:rsid w:val="00E76C03"/>
    <w:rsid w:val="00E76C68"/>
    <w:rsid w:val="00E76C86"/>
    <w:rsid w:val="00E7727F"/>
    <w:rsid w:val="00E773EA"/>
    <w:rsid w:val="00E7768A"/>
    <w:rsid w:val="00E7770D"/>
    <w:rsid w:val="00E777EB"/>
    <w:rsid w:val="00E778C8"/>
    <w:rsid w:val="00E802F2"/>
    <w:rsid w:val="00E806FD"/>
    <w:rsid w:val="00E80F74"/>
    <w:rsid w:val="00E8100E"/>
    <w:rsid w:val="00E81053"/>
    <w:rsid w:val="00E8129C"/>
    <w:rsid w:val="00E8149D"/>
    <w:rsid w:val="00E814E1"/>
    <w:rsid w:val="00E816E1"/>
    <w:rsid w:val="00E816EE"/>
    <w:rsid w:val="00E8179D"/>
    <w:rsid w:val="00E81855"/>
    <w:rsid w:val="00E81B09"/>
    <w:rsid w:val="00E81B40"/>
    <w:rsid w:val="00E81BBF"/>
    <w:rsid w:val="00E81DE3"/>
    <w:rsid w:val="00E82021"/>
    <w:rsid w:val="00E822D4"/>
    <w:rsid w:val="00E822F6"/>
    <w:rsid w:val="00E82367"/>
    <w:rsid w:val="00E8246A"/>
    <w:rsid w:val="00E82638"/>
    <w:rsid w:val="00E82757"/>
    <w:rsid w:val="00E82AEF"/>
    <w:rsid w:val="00E830B9"/>
    <w:rsid w:val="00E830F7"/>
    <w:rsid w:val="00E8355B"/>
    <w:rsid w:val="00E8357F"/>
    <w:rsid w:val="00E836A3"/>
    <w:rsid w:val="00E837A8"/>
    <w:rsid w:val="00E83A32"/>
    <w:rsid w:val="00E83B44"/>
    <w:rsid w:val="00E83B5E"/>
    <w:rsid w:val="00E841C5"/>
    <w:rsid w:val="00E8434A"/>
    <w:rsid w:val="00E84430"/>
    <w:rsid w:val="00E84959"/>
    <w:rsid w:val="00E84AB2"/>
    <w:rsid w:val="00E84AD0"/>
    <w:rsid w:val="00E84B95"/>
    <w:rsid w:val="00E84BF9"/>
    <w:rsid w:val="00E84D1B"/>
    <w:rsid w:val="00E84F55"/>
    <w:rsid w:val="00E85061"/>
    <w:rsid w:val="00E8543E"/>
    <w:rsid w:val="00E854A5"/>
    <w:rsid w:val="00E8552B"/>
    <w:rsid w:val="00E85536"/>
    <w:rsid w:val="00E856AF"/>
    <w:rsid w:val="00E856BA"/>
    <w:rsid w:val="00E85825"/>
    <w:rsid w:val="00E86022"/>
    <w:rsid w:val="00E860A6"/>
    <w:rsid w:val="00E86308"/>
    <w:rsid w:val="00E8637D"/>
    <w:rsid w:val="00E86B3F"/>
    <w:rsid w:val="00E86F09"/>
    <w:rsid w:val="00E8713B"/>
    <w:rsid w:val="00E8742B"/>
    <w:rsid w:val="00E87844"/>
    <w:rsid w:val="00E87857"/>
    <w:rsid w:val="00E87A4D"/>
    <w:rsid w:val="00E87D32"/>
    <w:rsid w:val="00E87FEA"/>
    <w:rsid w:val="00E90143"/>
    <w:rsid w:val="00E902B8"/>
    <w:rsid w:val="00E903DB"/>
    <w:rsid w:val="00E9046D"/>
    <w:rsid w:val="00E906DC"/>
    <w:rsid w:val="00E90B59"/>
    <w:rsid w:val="00E90BA0"/>
    <w:rsid w:val="00E90D6D"/>
    <w:rsid w:val="00E90F22"/>
    <w:rsid w:val="00E90F5C"/>
    <w:rsid w:val="00E91023"/>
    <w:rsid w:val="00E919BD"/>
    <w:rsid w:val="00E91E78"/>
    <w:rsid w:val="00E920C3"/>
    <w:rsid w:val="00E924AB"/>
    <w:rsid w:val="00E92603"/>
    <w:rsid w:val="00E92ACD"/>
    <w:rsid w:val="00E92F37"/>
    <w:rsid w:val="00E92FED"/>
    <w:rsid w:val="00E93022"/>
    <w:rsid w:val="00E930F4"/>
    <w:rsid w:val="00E93172"/>
    <w:rsid w:val="00E93338"/>
    <w:rsid w:val="00E934C3"/>
    <w:rsid w:val="00E93881"/>
    <w:rsid w:val="00E93A0A"/>
    <w:rsid w:val="00E93ADA"/>
    <w:rsid w:val="00E93B31"/>
    <w:rsid w:val="00E93E79"/>
    <w:rsid w:val="00E93F98"/>
    <w:rsid w:val="00E94536"/>
    <w:rsid w:val="00E9462A"/>
    <w:rsid w:val="00E94756"/>
    <w:rsid w:val="00E94A82"/>
    <w:rsid w:val="00E94C7A"/>
    <w:rsid w:val="00E94E99"/>
    <w:rsid w:val="00E94F25"/>
    <w:rsid w:val="00E94FD9"/>
    <w:rsid w:val="00E95071"/>
    <w:rsid w:val="00E95088"/>
    <w:rsid w:val="00E9517D"/>
    <w:rsid w:val="00E952C1"/>
    <w:rsid w:val="00E95314"/>
    <w:rsid w:val="00E95385"/>
    <w:rsid w:val="00E953BA"/>
    <w:rsid w:val="00E956A4"/>
    <w:rsid w:val="00E957EC"/>
    <w:rsid w:val="00E958A1"/>
    <w:rsid w:val="00E95A48"/>
    <w:rsid w:val="00E95B87"/>
    <w:rsid w:val="00E95DFC"/>
    <w:rsid w:val="00E95EDE"/>
    <w:rsid w:val="00E95EDF"/>
    <w:rsid w:val="00E95F61"/>
    <w:rsid w:val="00E96083"/>
    <w:rsid w:val="00E962F9"/>
    <w:rsid w:val="00E963FA"/>
    <w:rsid w:val="00E9685F"/>
    <w:rsid w:val="00E968F9"/>
    <w:rsid w:val="00E96959"/>
    <w:rsid w:val="00E96BAC"/>
    <w:rsid w:val="00E96C0A"/>
    <w:rsid w:val="00E96C4E"/>
    <w:rsid w:val="00E96DB7"/>
    <w:rsid w:val="00E97467"/>
    <w:rsid w:val="00E97538"/>
    <w:rsid w:val="00E975E6"/>
    <w:rsid w:val="00E9781C"/>
    <w:rsid w:val="00E978C6"/>
    <w:rsid w:val="00E97AD3"/>
    <w:rsid w:val="00E97BC4"/>
    <w:rsid w:val="00E97E83"/>
    <w:rsid w:val="00EA01A5"/>
    <w:rsid w:val="00EA01B5"/>
    <w:rsid w:val="00EA01CD"/>
    <w:rsid w:val="00EA0261"/>
    <w:rsid w:val="00EA0267"/>
    <w:rsid w:val="00EA0439"/>
    <w:rsid w:val="00EA046A"/>
    <w:rsid w:val="00EA065E"/>
    <w:rsid w:val="00EA07FA"/>
    <w:rsid w:val="00EA08B8"/>
    <w:rsid w:val="00EA09AA"/>
    <w:rsid w:val="00EA09E9"/>
    <w:rsid w:val="00EA12BF"/>
    <w:rsid w:val="00EA160D"/>
    <w:rsid w:val="00EA1742"/>
    <w:rsid w:val="00EA18D6"/>
    <w:rsid w:val="00EA191B"/>
    <w:rsid w:val="00EA19A0"/>
    <w:rsid w:val="00EA19D6"/>
    <w:rsid w:val="00EA1C1F"/>
    <w:rsid w:val="00EA1E0E"/>
    <w:rsid w:val="00EA1EF8"/>
    <w:rsid w:val="00EA249F"/>
    <w:rsid w:val="00EA2521"/>
    <w:rsid w:val="00EA25A5"/>
    <w:rsid w:val="00EA28B8"/>
    <w:rsid w:val="00EA29AA"/>
    <w:rsid w:val="00EA2E34"/>
    <w:rsid w:val="00EA3058"/>
    <w:rsid w:val="00EA3098"/>
    <w:rsid w:val="00EA334D"/>
    <w:rsid w:val="00EA3756"/>
    <w:rsid w:val="00EA3798"/>
    <w:rsid w:val="00EA384A"/>
    <w:rsid w:val="00EA396D"/>
    <w:rsid w:val="00EA3ABE"/>
    <w:rsid w:val="00EA3B16"/>
    <w:rsid w:val="00EA3D5B"/>
    <w:rsid w:val="00EA3F56"/>
    <w:rsid w:val="00EA43CD"/>
    <w:rsid w:val="00EA43EA"/>
    <w:rsid w:val="00EA4484"/>
    <w:rsid w:val="00EA4506"/>
    <w:rsid w:val="00EA45A8"/>
    <w:rsid w:val="00EA4743"/>
    <w:rsid w:val="00EA4860"/>
    <w:rsid w:val="00EA48A0"/>
    <w:rsid w:val="00EA4A0D"/>
    <w:rsid w:val="00EA4A9E"/>
    <w:rsid w:val="00EA4C55"/>
    <w:rsid w:val="00EA4C6A"/>
    <w:rsid w:val="00EA4CF8"/>
    <w:rsid w:val="00EA4DC2"/>
    <w:rsid w:val="00EA501D"/>
    <w:rsid w:val="00EA51F0"/>
    <w:rsid w:val="00EA52E7"/>
    <w:rsid w:val="00EA56CF"/>
    <w:rsid w:val="00EA57BE"/>
    <w:rsid w:val="00EA58C6"/>
    <w:rsid w:val="00EA5AE9"/>
    <w:rsid w:val="00EA5BEC"/>
    <w:rsid w:val="00EA5D06"/>
    <w:rsid w:val="00EA5E11"/>
    <w:rsid w:val="00EA6378"/>
    <w:rsid w:val="00EA6DFF"/>
    <w:rsid w:val="00EA75E7"/>
    <w:rsid w:val="00EA7D90"/>
    <w:rsid w:val="00EA7DEC"/>
    <w:rsid w:val="00EA7FD0"/>
    <w:rsid w:val="00EB0164"/>
    <w:rsid w:val="00EB02CD"/>
    <w:rsid w:val="00EB06A2"/>
    <w:rsid w:val="00EB0758"/>
    <w:rsid w:val="00EB079A"/>
    <w:rsid w:val="00EB0989"/>
    <w:rsid w:val="00EB0CE6"/>
    <w:rsid w:val="00EB0F67"/>
    <w:rsid w:val="00EB0F7F"/>
    <w:rsid w:val="00EB1C5F"/>
    <w:rsid w:val="00EB1D13"/>
    <w:rsid w:val="00EB1DA3"/>
    <w:rsid w:val="00EB1F25"/>
    <w:rsid w:val="00EB1F9B"/>
    <w:rsid w:val="00EB207D"/>
    <w:rsid w:val="00EB228F"/>
    <w:rsid w:val="00EB2488"/>
    <w:rsid w:val="00EB2701"/>
    <w:rsid w:val="00EB270D"/>
    <w:rsid w:val="00EB2B5B"/>
    <w:rsid w:val="00EB2F09"/>
    <w:rsid w:val="00EB314A"/>
    <w:rsid w:val="00EB31A7"/>
    <w:rsid w:val="00EB337E"/>
    <w:rsid w:val="00EB393B"/>
    <w:rsid w:val="00EB3AE9"/>
    <w:rsid w:val="00EB3C30"/>
    <w:rsid w:val="00EB3C5D"/>
    <w:rsid w:val="00EB4019"/>
    <w:rsid w:val="00EB4042"/>
    <w:rsid w:val="00EB4090"/>
    <w:rsid w:val="00EB4602"/>
    <w:rsid w:val="00EB4737"/>
    <w:rsid w:val="00EB48F9"/>
    <w:rsid w:val="00EB4E5C"/>
    <w:rsid w:val="00EB4ED2"/>
    <w:rsid w:val="00EB53EB"/>
    <w:rsid w:val="00EB55E4"/>
    <w:rsid w:val="00EB56AC"/>
    <w:rsid w:val="00EB56FA"/>
    <w:rsid w:val="00EB5CF9"/>
    <w:rsid w:val="00EB5DFF"/>
    <w:rsid w:val="00EB5EB3"/>
    <w:rsid w:val="00EB60ED"/>
    <w:rsid w:val="00EB6289"/>
    <w:rsid w:val="00EB6292"/>
    <w:rsid w:val="00EB630F"/>
    <w:rsid w:val="00EB6358"/>
    <w:rsid w:val="00EB6383"/>
    <w:rsid w:val="00EB671B"/>
    <w:rsid w:val="00EB6794"/>
    <w:rsid w:val="00EB68C2"/>
    <w:rsid w:val="00EB6955"/>
    <w:rsid w:val="00EB6A24"/>
    <w:rsid w:val="00EB6A78"/>
    <w:rsid w:val="00EB6C64"/>
    <w:rsid w:val="00EB6CCF"/>
    <w:rsid w:val="00EB6D7D"/>
    <w:rsid w:val="00EB6E6B"/>
    <w:rsid w:val="00EB6F83"/>
    <w:rsid w:val="00EB6FCF"/>
    <w:rsid w:val="00EB707E"/>
    <w:rsid w:val="00EB7189"/>
    <w:rsid w:val="00EB73A9"/>
    <w:rsid w:val="00EB75BA"/>
    <w:rsid w:val="00EB788E"/>
    <w:rsid w:val="00EB78E8"/>
    <w:rsid w:val="00EB7A7C"/>
    <w:rsid w:val="00EB7DDB"/>
    <w:rsid w:val="00EB7DFE"/>
    <w:rsid w:val="00EC03DA"/>
    <w:rsid w:val="00EC0794"/>
    <w:rsid w:val="00EC0883"/>
    <w:rsid w:val="00EC0B33"/>
    <w:rsid w:val="00EC0DD2"/>
    <w:rsid w:val="00EC0E47"/>
    <w:rsid w:val="00EC14EB"/>
    <w:rsid w:val="00EC157B"/>
    <w:rsid w:val="00EC17F9"/>
    <w:rsid w:val="00EC1963"/>
    <w:rsid w:val="00EC1A94"/>
    <w:rsid w:val="00EC1DA7"/>
    <w:rsid w:val="00EC1E4F"/>
    <w:rsid w:val="00EC225B"/>
    <w:rsid w:val="00EC22D1"/>
    <w:rsid w:val="00EC25B8"/>
    <w:rsid w:val="00EC281C"/>
    <w:rsid w:val="00EC2847"/>
    <w:rsid w:val="00EC28B8"/>
    <w:rsid w:val="00EC2935"/>
    <w:rsid w:val="00EC2AE1"/>
    <w:rsid w:val="00EC2DBD"/>
    <w:rsid w:val="00EC2E47"/>
    <w:rsid w:val="00EC31C7"/>
    <w:rsid w:val="00EC3409"/>
    <w:rsid w:val="00EC3AAD"/>
    <w:rsid w:val="00EC3BE7"/>
    <w:rsid w:val="00EC3F1F"/>
    <w:rsid w:val="00EC417B"/>
    <w:rsid w:val="00EC439B"/>
    <w:rsid w:val="00EC43CA"/>
    <w:rsid w:val="00EC4936"/>
    <w:rsid w:val="00EC4BFA"/>
    <w:rsid w:val="00EC4C25"/>
    <w:rsid w:val="00EC4D94"/>
    <w:rsid w:val="00EC4EC4"/>
    <w:rsid w:val="00EC4F05"/>
    <w:rsid w:val="00EC4FB6"/>
    <w:rsid w:val="00EC51C5"/>
    <w:rsid w:val="00EC5321"/>
    <w:rsid w:val="00EC5424"/>
    <w:rsid w:val="00EC54A3"/>
    <w:rsid w:val="00EC56BE"/>
    <w:rsid w:val="00EC5756"/>
    <w:rsid w:val="00EC5BD2"/>
    <w:rsid w:val="00EC5E7C"/>
    <w:rsid w:val="00EC5EB9"/>
    <w:rsid w:val="00EC5FEF"/>
    <w:rsid w:val="00EC6129"/>
    <w:rsid w:val="00EC68D2"/>
    <w:rsid w:val="00EC6A02"/>
    <w:rsid w:val="00EC6B8B"/>
    <w:rsid w:val="00EC712B"/>
    <w:rsid w:val="00EC714C"/>
    <w:rsid w:val="00EC71E6"/>
    <w:rsid w:val="00EC7209"/>
    <w:rsid w:val="00EC72B1"/>
    <w:rsid w:val="00EC74FA"/>
    <w:rsid w:val="00EC7543"/>
    <w:rsid w:val="00EC7655"/>
    <w:rsid w:val="00EC7663"/>
    <w:rsid w:val="00EC78F6"/>
    <w:rsid w:val="00EC7DDD"/>
    <w:rsid w:val="00ED01C3"/>
    <w:rsid w:val="00ED0223"/>
    <w:rsid w:val="00ED0307"/>
    <w:rsid w:val="00ED0CAB"/>
    <w:rsid w:val="00ED0F76"/>
    <w:rsid w:val="00ED10F6"/>
    <w:rsid w:val="00ED124C"/>
    <w:rsid w:val="00ED131B"/>
    <w:rsid w:val="00ED170E"/>
    <w:rsid w:val="00ED214A"/>
    <w:rsid w:val="00ED23C5"/>
    <w:rsid w:val="00ED26B2"/>
    <w:rsid w:val="00ED26E1"/>
    <w:rsid w:val="00ED2D0B"/>
    <w:rsid w:val="00ED2D9C"/>
    <w:rsid w:val="00ED2DF3"/>
    <w:rsid w:val="00ED3633"/>
    <w:rsid w:val="00ED372E"/>
    <w:rsid w:val="00ED3802"/>
    <w:rsid w:val="00ED3955"/>
    <w:rsid w:val="00ED3A5C"/>
    <w:rsid w:val="00ED3DA0"/>
    <w:rsid w:val="00ED3E96"/>
    <w:rsid w:val="00ED407E"/>
    <w:rsid w:val="00ED4163"/>
    <w:rsid w:val="00ED436D"/>
    <w:rsid w:val="00ED445A"/>
    <w:rsid w:val="00ED455B"/>
    <w:rsid w:val="00ED4626"/>
    <w:rsid w:val="00ED47A9"/>
    <w:rsid w:val="00ED4C77"/>
    <w:rsid w:val="00ED4F23"/>
    <w:rsid w:val="00ED504E"/>
    <w:rsid w:val="00ED50BE"/>
    <w:rsid w:val="00ED5233"/>
    <w:rsid w:val="00ED52B0"/>
    <w:rsid w:val="00ED53CB"/>
    <w:rsid w:val="00ED54F3"/>
    <w:rsid w:val="00ED563A"/>
    <w:rsid w:val="00ED5765"/>
    <w:rsid w:val="00ED579C"/>
    <w:rsid w:val="00ED5830"/>
    <w:rsid w:val="00ED5B51"/>
    <w:rsid w:val="00ED5E34"/>
    <w:rsid w:val="00ED5F24"/>
    <w:rsid w:val="00ED6328"/>
    <w:rsid w:val="00ED6474"/>
    <w:rsid w:val="00ED65FE"/>
    <w:rsid w:val="00ED6878"/>
    <w:rsid w:val="00ED6A0A"/>
    <w:rsid w:val="00ED6DFD"/>
    <w:rsid w:val="00ED71A2"/>
    <w:rsid w:val="00ED7380"/>
    <w:rsid w:val="00ED75D9"/>
    <w:rsid w:val="00ED765A"/>
    <w:rsid w:val="00ED78ED"/>
    <w:rsid w:val="00ED7A82"/>
    <w:rsid w:val="00ED7A83"/>
    <w:rsid w:val="00ED7AA1"/>
    <w:rsid w:val="00ED7C5A"/>
    <w:rsid w:val="00ED7F37"/>
    <w:rsid w:val="00EE01CC"/>
    <w:rsid w:val="00EE0270"/>
    <w:rsid w:val="00EE04D0"/>
    <w:rsid w:val="00EE07CB"/>
    <w:rsid w:val="00EE0BA3"/>
    <w:rsid w:val="00EE0E79"/>
    <w:rsid w:val="00EE112F"/>
    <w:rsid w:val="00EE1192"/>
    <w:rsid w:val="00EE12A5"/>
    <w:rsid w:val="00EE13D7"/>
    <w:rsid w:val="00EE14CF"/>
    <w:rsid w:val="00EE1528"/>
    <w:rsid w:val="00EE15E9"/>
    <w:rsid w:val="00EE1635"/>
    <w:rsid w:val="00EE16ED"/>
    <w:rsid w:val="00EE1C3D"/>
    <w:rsid w:val="00EE2054"/>
    <w:rsid w:val="00EE20FE"/>
    <w:rsid w:val="00EE215F"/>
    <w:rsid w:val="00EE2266"/>
    <w:rsid w:val="00EE23FE"/>
    <w:rsid w:val="00EE25AC"/>
    <w:rsid w:val="00EE27B2"/>
    <w:rsid w:val="00EE2829"/>
    <w:rsid w:val="00EE2D22"/>
    <w:rsid w:val="00EE3185"/>
    <w:rsid w:val="00EE3248"/>
    <w:rsid w:val="00EE3312"/>
    <w:rsid w:val="00EE349F"/>
    <w:rsid w:val="00EE3724"/>
    <w:rsid w:val="00EE43FD"/>
    <w:rsid w:val="00EE4B17"/>
    <w:rsid w:val="00EE4B8C"/>
    <w:rsid w:val="00EE4BC4"/>
    <w:rsid w:val="00EE4D0C"/>
    <w:rsid w:val="00EE5080"/>
    <w:rsid w:val="00EE541C"/>
    <w:rsid w:val="00EE559B"/>
    <w:rsid w:val="00EE577F"/>
    <w:rsid w:val="00EE5C4B"/>
    <w:rsid w:val="00EE5C72"/>
    <w:rsid w:val="00EE5D5B"/>
    <w:rsid w:val="00EE5E0A"/>
    <w:rsid w:val="00EE6298"/>
    <w:rsid w:val="00EE62D2"/>
    <w:rsid w:val="00EE635E"/>
    <w:rsid w:val="00EE64CC"/>
    <w:rsid w:val="00EE669F"/>
    <w:rsid w:val="00EE673C"/>
    <w:rsid w:val="00EE6778"/>
    <w:rsid w:val="00EE68CE"/>
    <w:rsid w:val="00EE6909"/>
    <w:rsid w:val="00EE6A4D"/>
    <w:rsid w:val="00EE6B30"/>
    <w:rsid w:val="00EE6BA0"/>
    <w:rsid w:val="00EE6CB5"/>
    <w:rsid w:val="00EE7224"/>
    <w:rsid w:val="00EE740C"/>
    <w:rsid w:val="00EE75B1"/>
    <w:rsid w:val="00EE763E"/>
    <w:rsid w:val="00EE774E"/>
    <w:rsid w:val="00EE775E"/>
    <w:rsid w:val="00EE78E4"/>
    <w:rsid w:val="00EE7C0D"/>
    <w:rsid w:val="00EE7EAF"/>
    <w:rsid w:val="00EE7F4E"/>
    <w:rsid w:val="00EE7F5D"/>
    <w:rsid w:val="00EF0382"/>
    <w:rsid w:val="00EF044A"/>
    <w:rsid w:val="00EF05AD"/>
    <w:rsid w:val="00EF0CD1"/>
    <w:rsid w:val="00EF0E15"/>
    <w:rsid w:val="00EF0E83"/>
    <w:rsid w:val="00EF190A"/>
    <w:rsid w:val="00EF1936"/>
    <w:rsid w:val="00EF1D0B"/>
    <w:rsid w:val="00EF1E5E"/>
    <w:rsid w:val="00EF1F01"/>
    <w:rsid w:val="00EF1F67"/>
    <w:rsid w:val="00EF213C"/>
    <w:rsid w:val="00EF23D6"/>
    <w:rsid w:val="00EF2464"/>
    <w:rsid w:val="00EF247B"/>
    <w:rsid w:val="00EF2940"/>
    <w:rsid w:val="00EF2DB2"/>
    <w:rsid w:val="00EF2E32"/>
    <w:rsid w:val="00EF2EAE"/>
    <w:rsid w:val="00EF3002"/>
    <w:rsid w:val="00EF319F"/>
    <w:rsid w:val="00EF3325"/>
    <w:rsid w:val="00EF3573"/>
    <w:rsid w:val="00EF35E0"/>
    <w:rsid w:val="00EF362C"/>
    <w:rsid w:val="00EF3A8F"/>
    <w:rsid w:val="00EF3A9D"/>
    <w:rsid w:val="00EF3AF1"/>
    <w:rsid w:val="00EF3B07"/>
    <w:rsid w:val="00EF3BEF"/>
    <w:rsid w:val="00EF3DA5"/>
    <w:rsid w:val="00EF3DBF"/>
    <w:rsid w:val="00EF3E2D"/>
    <w:rsid w:val="00EF4283"/>
    <w:rsid w:val="00EF44EB"/>
    <w:rsid w:val="00EF44F3"/>
    <w:rsid w:val="00EF4685"/>
    <w:rsid w:val="00EF488D"/>
    <w:rsid w:val="00EF4E37"/>
    <w:rsid w:val="00EF4E43"/>
    <w:rsid w:val="00EF4F86"/>
    <w:rsid w:val="00EF5178"/>
    <w:rsid w:val="00EF541C"/>
    <w:rsid w:val="00EF5563"/>
    <w:rsid w:val="00EF57C2"/>
    <w:rsid w:val="00EF5936"/>
    <w:rsid w:val="00EF5A12"/>
    <w:rsid w:val="00EF5B99"/>
    <w:rsid w:val="00EF5D81"/>
    <w:rsid w:val="00EF5E08"/>
    <w:rsid w:val="00EF5FE3"/>
    <w:rsid w:val="00EF608E"/>
    <w:rsid w:val="00EF60E7"/>
    <w:rsid w:val="00EF613C"/>
    <w:rsid w:val="00EF6216"/>
    <w:rsid w:val="00EF6354"/>
    <w:rsid w:val="00EF684C"/>
    <w:rsid w:val="00EF6AB2"/>
    <w:rsid w:val="00EF6B31"/>
    <w:rsid w:val="00EF6BB1"/>
    <w:rsid w:val="00EF6BF3"/>
    <w:rsid w:val="00EF6C2A"/>
    <w:rsid w:val="00EF6DFB"/>
    <w:rsid w:val="00EF703D"/>
    <w:rsid w:val="00EF721E"/>
    <w:rsid w:val="00EF7396"/>
    <w:rsid w:val="00EF7515"/>
    <w:rsid w:val="00EF77B6"/>
    <w:rsid w:val="00EF7861"/>
    <w:rsid w:val="00EF79D5"/>
    <w:rsid w:val="00EF7A84"/>
    <w:rsid w:val="00EF7C67"/>
    <w:rsid w:val="00EF7C6E"/>
    <w:rsid w:val="00EF7DFC"/>
    <w:rsid w:val="00EF7E2E"/>
    <w:rsid w:val="00F0006D"/>
    <w:rsid w:val="00F001DE"/>
    <w:rsid w:val="00F00501"/>
    <w:rsid w:val="00F0068E"/>
    <w:rsid w:val="00F00761"/>
    <w:rsid w:val="00F007B8"/>
    <w:rsid w:val="00F00D17"/>
    <w:rsid w:val="00F00F5F"/>
    <w:rsid w:val="00F01202"/>
    <w:rsid w:val="00F0125A"/>
    <w:rsid w:val="00F01267"/>
    <w:rsid w:val="00F0149A"/>
    <w:rsid w:val="00F015A2"/>
    <w:rsid w:val="00F01900"/>
    <w:rsid w:val="00F01C57"/>
    <w:rsid w:val="00F01ED0"/>
    <w:rsid w:val="00F0206A"/>
    <w:rsid w:val="00F021EB"/>
    <w:rsid w:val="00F0224F"/>
    <w:rsid w:val="00F02264"/>
    <w:rsid w:val="00F022D8"/>
    <w:rsid w:val="00F0299E"/>
    <w:rsid w:val="00F02A4D"/>
    <w:rsid w:val="00F02DC4"/>
    <w:rsid w:val="00F03084"/>
    <w:rsid w:val="00F03100"/>
    <w:rsid w:val="00F0316D"/>
    <w:rsid w:val="00F03799"/>
    <w:rsid w:val="00F0407D"/>
    <w:rsid w:val="00F04213"/>
    <w:rsid w:val="00F0422C"/>
    <w:rsid w:val="00F04236"/>
    <w:rsid w:val="00F04397"/>
    <w:rsid w:val="00F044DB"/>
    <w:rsid w:val="00F04604"/>
    <w:rsid w:val="00F04AD9"/>
    <w:rsid w:val="00F04BA9"/>
    <w:rsid w:val="00F04BB9"/>
    <w:rsid w:val="00F04D7A"/>
    <w:rsid w:val="00F04EA9"/>
    <w:rsid w:val="00F050DC"/>
    <w:rsid w:val="00F05205"/>
    <w:rsid w:val="00F0536B"/>
    <w:rsid w:val="00F055FF"/>
    <w:rsid w:val="00F059FD"/>
    <w:rsid w:val="00F05BAD"/>
    <w:rsid w:val="00F05C5D"/>
    <w:rsid w:val="00F05D1D"/>
    <w:rsid w:val="00F05F8B"/>
    <w:rsid w:val="00F060C2"/>
    <w:rsid w:val="00F06124"/>
    <w:rsid w:val="00F06228"/>
    <w:rsid w:val="00F06332"/>
    <w:rsid w:val="00F06523"/>
    <w:rsid w:val="00F066C9"/>
    <w:rsid w:val="00F06808"/>
    <w:rsid w:val="00F06C52"/>
    <w:rsid w:val="00F06E6A"/>
    <w:rsid w:val="00F06EFD"/>
    <w:rsid w:val="00F06F71"/>
    <w:rsid w:val="00F06FA7"/>
    <w:rsid w:val="00F07096"/>
    <w:rsid w:val="00F0713B"/>
    <w:rsid w:val="00F073BA"/>
    <w:rsid w:val="00F07575"/>
    <w:rsid w:val="00F075AC"/>
    <w:rsid w:val="00F0770A"/>
    <w:rsid w:val="00F078CE"/>
    <w:rsid w:val="00F079A7"/>
    <w:rsid w:val="00F079CE"/>
    <w:rsid w:val="00F07D91"/>
    <w:rsid w:val="00F07E28"/>
    <w:rsid w:val="00F07E80"/>
    <w:rsid w:val="00F10361"/>
    <w:rsid w:val="00F109DA"/>
    <w:rsid w:val="00F10E07"/>
    <w:rsid w:val="00F1110D"/>
    <w:rsid w:val="00F11280"/>
    <w:rsid w:val="00F11371"/>
    <w:rsid w:val="00F113F5"/>
    <w:rsid w:val="00F1154C"/>
    <w:rsid w:val="00F118A1"/>
    <w:rsid w:val="00F11B04"/>
    <w:rsid w:val="00F11E27"/>
    <w:rsid w:val="00F12085"/>
    <w:rsid w:val="00F121DC"/>
    <w:rsid w:val="00F12504"/>
    <w:rsid w:val="00F12533"/>
    <w:rsid w:val="00F125AF"/>
    <w:rsid w:val="00F125D9"/>
    <w:rsid w:val="00F1274F"/>
    <w:rsid w:val="00F12826"/>
    <w:rsid w:val="00F12A77"/>
    <w:rsid w:val="00F12C57"/>
    <w:rsid w:val="00F12C8A"/>
    <w:rsid w:val="00F12CE6"/>
    <w:rsid w:val="00F12D08"/>
    <w:rsid w:val="00F12D11"/>
    <w:rsid w:val="00F12E53"/>
    <w:rsid w:val="00F12E73"/>
    <w:rsid w:val="00F12F85"/>
    <w:rsid w:val="00F131CE"/>
    <w:rsid w:val="00F13512"/>
    <w:rsid w:val="00F135C9"/>
    <w:rsid w:val="00F13684"/>
    <w:rsid w:val="00F13695"/>
    <w:rsid w:val="00F13728"/>
    <w:rsid w:val="00F13D83"/>
    <w:rsid w:val="00F13F14"/>
    <w:rsid w:val="00F13FB8"/>
    <w:rsid w:val="00F140CF"/>
    <w:rsid w:val="00F14267"/>
    <w:rsid w:val="00F1488F"/>
    <w:rsid w:val="00F14935"/>
    <w:rsid w:val="00F149BD"/>
    <w:rsid w:val="00F14D63"/>
    <w:rsid w:val="00F14F6B"/>
    <w:rsid w:val="00F14F83"/>
    <w:rsid w:val="00F15140"/>
    <w:rsid w:val="00F153E6"/>
    <w:rsid w:val="00F154A7"/>
    <w:rsid w:val="00F156CD"/>
    <w:rsid w:val="00F15BB7"/>
    <w:rsid w:val="00F15C48"/>
    <w:rsid w:val="00F15D12"/>
    <w:rsid w:val="00F15E2E"/>
    <w:rsid w:val="00F162A8"/>
    <w:rsid w:val="00F162C8"/>
    <w:rsid w:val="00F164F5"/>
    <w:rsid w:val="00F167B5"/>
    <w:rsid w:val="00F168FC"/>
    <w:rsid w:val="00F16A51"/>
    <w:rsid w:val="00F16C45"/>
    <w:rsid w:val="00F16D05"/>
    <w:rsid w:val="00F16D57"/>
    <w:rsid w:val="00F16F1E"/>
    <w:rsid w:val="00F16F91"/>
    <w:rsid w:val="00F1714B"/>
    <w:rsid w:val="00F17547"/>
    <w:rsid w:val="00F1756D"/>
    <w:rsid w:val="00F175EA"/>
    <w:rsid w:val="00F17C45"/>
    <w:rsid w:val="00F17D0F"/>
    <w:rsid w:val="00F17E42"/>
    <w:rsid w:val="00F2009E"/>
    <w:rsid w:val="00F20789"/>
    <w:rsid w:val="00F20957"/>
    <w:rsid w:val="00F20AA4"/>
    <w:rsid w:val="00F20BD2"/>
    <w:rsid w:val="00F20EC6"/>
    <w:rsid w:val="00F20F53"/>
    <w:rsid w:val="00F21175"/>
    <w:rsid w:val="00F211FC"/>
    <w:rsid w:val="00F21272"/>
    <w:rsid w:val="00F219A3"/>
    <w:rsid w:val="00F21C09"/>
    <w:rsid w:val="00F21E27"/>
    <w:rsid w:val="00F21F0E"/>
    <w:rsid w:val="00F21F1D"/>
    <w:rsid w:val="00F21F81"/>
    <w:rsid w:val="00F2210C"/>
    <w:rsid w:val="00F2234B"/>
    <w:rsid w:val="00F22533"/>
    <w:rsid w:val="00F2258B"/>
    <w:rsid w:val="00F226D2"/>
    <w:rsid w:val="00F22769"/>
    <w:rsid w:val="00F227D1"/>
    <w:rsid w:val="00F22816"/>
    <w:rsid w:val="00F228F5"/>
    <w:rsid w:val="00F22E83"/>
    <w:rsid w:val="00F23043"/>
    <w:rsid w:val="00F23214"/>
    <w:rsid w:val="00F232CE"/>
    <w:rsid w:val="00F232F0"/>
    <w:rsid w:val="00F23371"/>
    <w:rsid w:val="00F233C5"/>
    <w:rsid w:val="00F23642"/>
    <w:rsid w:val="00F23B54"/>
    <w:rsid w:val="00F23B62"/>
    <w:rsid w:val="00F23BD8"/>
    <w:rsid w:val="00F23C52"/>
    <w:rsid w:val="00F23C92"/>
    <w:rsid w:val="00F24305"/>
    <w:rsid w:val="00F24406"/>
    <w:rsid w:val="00F244E3"/>
    <w:rsid w:val="00F24661"/>
    <w:rsid w:val="00F24777"/>
    <w:rsid w:val="00F248A7"/>
    <w:rsid w:val="00F24A07"/>
    <w:rsid w:val="00F24BED"/>
    <w:rsid w:val="00F24BFD"/>
    <w:rsid w:val="00F24C76"/>
    <w:rsid w:val="00F24C8D"/>
    <w:rsid w:val="00F24E32"/>
    <w:rsid w:val="00F24FB7"/>
    <w:rsid w:val="00F253AC"/>
    <w:rsid w:val="00F257A4"/>
    <w:rsid w:val="00F257BE"/>
    <w:rsid w:val="00F25B91"/>
    <w:rsid w:val="00F25BF6"/>
    <w:rsid w:val="00F25C8B"/>
    <w:rsid w:val="00F25CD7"/>
    <w:rsid w:val="00F25FFE"/>
    <w:rsid w:val="00F2604B"/>
    <w:rsid w:val="00F26094"/>
    <w:rsid w:val="00F2609D"/>
    <w:rsid w:val="00F26199"/>
    <w:rsid w:val="00F2662B"/>
    <w:rsid w:val="00F2686C"/>
    <w:rsid w:val="00F26A4B"/>
    <w:rsid w:val="00F26CCE"/>
    <w:rsid w:val="00F26DEA"/>
    <w:rsid w:val="00F270AD"/>
    <w:rsid w:val="00F2748A"/>
    <w:rsid w:val="00F27656"/>
    <w:rsid w:val="00F276F0"/>
    <w:rsid w:val="00F27703"/>
    <w:rsid w:val="00F279E5"/>
    <w:rsid w:val="00F27CF1"/>
    <w:rsid w:val="00F27D2C"/>
    <w:rsid w:val="00F27D88"/>
    <w:rsid w:val="00F27E22"/>
    <w:rsid w:val="00F27F80"/>
    <w:rsid w:val="00F3001C"/>
    <w:rsid w:val="00F300CA"/>
    <w:rsid w:val="00F30426"/>
    <w:rsid w:val="00F304D8"/>
    <w:rsid w:val="00F30691"/>
    <w:rsid w:val="00F3082E"/>
    <w:rsid w:val="00F30874"/>
    <w:rsid w:val="00F30A00"/>
    <w:rsid w:val="00F30D59"/>
    <w:rsid w:val="00F30E7C"/>
    <w:rsid w:val="00F30F00"/>
    <w:rsid w:val="00F31071"/>
    <w:rsid w:val="00F310AD"/>
    <w:rsid w:val="00F31109"/>
    <w:rsid w:val="00F312D7"/>
    <w:rsid w:val="00F31362"/>
    <w:rsid w:val="00F314BB"/>
    <w:rsid w:val="00F31B0B"/>
    <w:rsid w:val="00F31C09"/>
    <w:rsid w:val="00F32086"/>
    <w:rsid w:val="00F3224B"/>
    <w:rsid w:val="00F322C9"/>
    <w:rsid w:val="00F32421"/>
    <w:rsid w:val="00F3242E"/>
    <w:rsid w:val="00F3253A"/>
    <w:rsid w:val="00F325C2"/>
    <w:rsid w:val="00F32810"/>
    <w:rsid w:val="00F32951"/>
    <w:rsid w:val="00F329AB"/>
    <w:rsid w:val="00F32B7D"/>
    <w:rsid w:val="00F32D3E"/>
    <w:rsid w:val="00F32D93"/>
    <w:rsid w:val="00F32EEC"/>
    <w:rsid w:val="00F332C1"/>
    <w:rsid w:val="00F33320"/>
    <w:rsid w:val="00F33653"/>
    <w:rsid w:val="00F33B8A"/>
    <w:rsid w:val="00F33BCA"/>
    <w:rsid w:val="00F33DDD"/>
    <w:rsid w:val="00F33E4C"/>
    <w:rsid w:val="00F33E5F"/>
    <w:rsid w:val="00F33F02"/>
    <w:rsid w:val="00F33FB6"/>
    <w:rsid w:val="00F34079"/>
    <w:rsid w:val="00F340B8"/>
    <w:rsid w:val="00F341E5"/>
    <w:rsid w:val="00F3421E"/>
    <w:rsid w:val="00F3439B"/>
    <w:rsid w:val="00F34479"/>
    <w:rsid w:val="00F3451B"/>
    <w:rsid w:val="00F34642"/>
    <w:rsid w:val="00F3491F"/>
    <w:rsid w:val="00F34991"/>
    <w:rsid w:val="00F349E3"/>
    <w:rsid w:val="00F34A2E"/>
    <w:rsid w:val="00F34CD7"/>
    <w:rsid w:val="00F34CF9"/>
    <w:rsid w:val="00F35082"/>
    <w:rsid w:val="00F35216"/>
    <w:rsid w:val="00F356FA"/>
    <w:rsid w:val="00F35904"/>
    <w:rsid w:val="00F364E5"/>
    <w:rsid w:val="00F368DC"/>
    <w:rsid w:val="00F369BE"/>
    <w:rsid w:val="00F36AC9"/>
    <w:rsid w:val="00F36D69"/>
    <w:rsid w:val="00F370C8"/>
    <w:rsid w:val="00F3712C"/>
    <w:rsid w:val="00F371F5"/>
    <w:rsid w:val="00F372F3"/>
    <w:rsid w:val="00F374A7"/>
    <w:rsid w:val="00F376A3"/>
    <w:rsid w:val="00F376A5"/>
    <w:rsid w:val="00F3789F"/>
    <w:rsid w:val="00F37AD7"/>
    <w:rsid w:val="00F400B9"/>
    <w:rsid w:val="00F4026F"/>
    <w:rsid w:val="00F404E5"/>
    <w:rsid w:val="00F40B43"/>
    <w:rsid w:val="00F40ED6"/>
    <w:rsid w:val="00F40F10"/>
    <w:rsid w:val="00F40F78"/>
    <w:rsid w:val="00F40F79"/>
    <w:rsid w:val="00F40F92"/>
    <w:rsid w:val="00F40FD5"/>
    <w:rsid w:val="00F4120F"/>
    <w:rsid w:val="00F41222"/>
    <w:rsid w:val="00F41653"/>
    <w:rsid w:val="00F41738"/>
    <w:rsid w:val="00F41A37"/>
    <w:rsid w:val="00F41E37"/>
    <w:rsid w:val="00F41ED0"/>
    <w:rsid w:val="00F42144"/>
    <w:rsid w:val="00F42209"/>
    <w:rsid w:val="00F422F3"/>
    <w:rsid w:val="00F42354"/>
    <w:rsid w:val="00F4241E"/>
    <w:rsid w:val="00F42580"/>
    <w:rsid w:val="00F4295C"/>
    <w:rsid w:val="00F42A2F"/>
    <w:rsid w:val="00F42AC1"/>
    <w:rsid w:val="00F42B86"/>
    <w:rsid w:val="00F42D65"/>
    <w:rsid w:val="00F42E87"/>
    <w:rsid w:val="00F42EA9"/>
    <w:rsid w:val="00F434C4"/>
    <w:rsid w:val="00F434C5"/>
    <w:rsid w:val="00F4353B"/>
    <w:rsid w:val="00F43695"/>
    <w:rsid w:val="00F43BAC"/>
    <w:rsid w:val="00F44111"/>
    <w:rsid w:val="00F4416A"/>
    <w:rsid w:val="00F44261"/>
    <w:rsid w:val="00F44441"/>
    <w:rsid w:val="00F44653"/>
    <w:rsid w:val="00F44684"/>
    <w:rsid w:val="00F4475C"/>
    <w:rsid w:val="00F44792"/>
    <w:rsid w:val="00F4499F"/>
    <w:rsid w:val="00F449FE"/>
    <w:rsid w:val="00F44AF0"/>
    <w:rsid w:val="00F44B0F"/>
    <w:rsid w:val="00F44C9E"/>
    <w:rsid w:val="00F44D75"/>
    <w:rsid w:val="00F44E16"/>
    <w:rsid w:val="00F4501E"/>
    <w:rsid w:val="00F4502B"/>
    <w:rsid w:val="00F452C4"/>
    <w:rsid w:val="00F456A2"/>
    <w:rsid w:val="00F45B8D"/>
    <w:rsid w:val="00F45C0A"/>
    <w:rsid w:val="00F45F59"/>
    <w:rsid w:val="00F461A3"/>
    <w:rsid w:val="00F46328"/>
    <w:rsid w:val="00F4636C"/>
    <w:rsid w:val="00F4658B"/>
    <w:rsid w:val="00F46612"/>
    <w:rsid w:val="00F46BA2"/>
    <w:rsid w:val="00F46C54"/>
    <w:rsid w:val="00F46CC4"/>
    <w:rsid w:val="00F46F47"/>
    <w:rsid w:val="00F473FB"/>
    <w:rsid w:val="00F47700"/>
    <w:rsid w:val="00F4783F"/>
    <w:rsid w:val="00F47A8F"/>
    <w:rsid w:val="00F47ADD"/>
    <w:rsid w:val="00F47C24"/>
    <w:rsid w:val="00F500ED"/>
    <w:rsid w:val="00F5012B"/>
    <w:rsid w:val="00F50281"/>
    <w:rsid w:val="00F502A9"/>
    <w:rsid w:val="00F50425"/>
    <w:rsid w:val="00F50576"/>
    <w:rsid w:val="00F50609"/>
    <w:rsid w:val="00F50C79"/>
    <w:rsid w:val="00F50EBE"/>
    <w:rsid w:val="00F50FE0"/>
    <w:rsid w:val="00F510BA"/>
    <w:rsid w:val="00F510E1"/>
    <w:rsid w:val="00F513B0"/>
    <w:rsid w:val="00F51604"/>
    <w:rsid w:val="00F516A7"/>
    <w:rsid w:val="00F51772"/>
    <w:rsid w:val="00F518BB"/>
    <w:rsid w:val="00F519A6"/>
    <w:rsid w:val="00F51A0F"/>
    <w:rsid w:val="00F51A8E"/>
    <w:rsid w:val="00F51CDC"/>
    <w:rsid w:val="00F51D4A"/>
    <w:rsid w:val="00F51E7A"/>
    <w:rsid w:val="00F51F66"/>
    <w:rsid w:val="00F520CF"/>
    <w:rsid w:val="00F521E2"/>
    <w:rsid w:val="00F524AD"/>
    <w:rsid w:val="00F525B0"/>
    <w:rsid w:val="00F527C0"/>
    <w:rsid w:val="00F527D3"/>
    <w:rsid w:val="00F52A06"/>
    <w:rsid w:val="00F52CB5"/>
    <w:rsid w:val="00F53090"/>
    <w:rsid w:val="00F530F8"/>
    <w:rsid w:val="00F53241"/>
    <w:rsid w:val="00F53548"/>
    <w:rsid w:val="00F5356D"/>
    <w:rsid w:val="00F53609"/>
    <w:rsid w:val="00F53A5B"/>
    <w:rsid w:val="00F53D36"/>
    <w:rsid w:val="00F53DFA"/>
    <w:rsid w:val="00F53FA8"/>
    <w:rsid w:val="00F5403C"/>
    <w:rsid w:val="00F54081"/>
    <w:rsid w:val="00F54577"/>
    <w:rsid w:val="00F547BC"/>
    <w:rsid w:val="00F54989"/>
    <w:rsid w:val="00F54A33"/>
    <w:rsid w:val="00F54D04"/>
    <w:rsid w:val="00F54D73"/>
    <w:rsid w:val="00F54D93"/>
    <w:rsid w:val="00F55168"/>
    <w:rsid w:val="00F5531D"/>
    <w:rsid w:val="00F555ED"/>
    <w:rsid w:val="00F556A0"/>
    <w:rsid w:val="00F55764"/>
    <w:rsid w:val="00F55844"/>
    <w:rsid w:val="00F5596F"/>
    <w:rsid w:val="00F55AC9"/>
    <w:rsid w:val="00F55DF1"/>
    <w:rsid w:val="00F561CC"/>
    <w:rsid w:val="00F563A6"/>
    <w:rsid w:val="00F564B9"/>
    <w:rsid w:val="00F56676"/>
    <w:rsid w:val="00F566AE"/>
    <w:rsid w:val="00F5671A"/>
    <w:rsid w:val="00F5674E"/>
    <w:rsid w:val="00F567F5"/>
    <w:rsid w:val="00F56899"/>
    <w:rsid w:val="00F56974"/>
    <w:rsid w:val="00F56BE4"/>
    <w:rsid w:val="00F56DA3"/>
    <w:rsid w:val="00F57006"/>
    <w:rsid w:val="00F57049"/>
    <w:rsid w:val="00F57234"/>
    <w:rsid w:val="00F574C6"/>
    <w:rsid w:val="00F57505"/>
    <w:rsid w:val="00F57585"/>
    <w:rsid w:val="00F57A4A"/>
    <w:rsid w:val="00F57B0B"/>
    <w:rsid w:val="00F57C0B"/>
    <w:rsid w:val="00F57C44"/>
    <w:rsid w:val="00F57C8A"/>
    <w:rsid w:val="00F57EAF"/>
    <w:rsid w:val="00F60005"/>
    <w:rsid w:val="00F60035"/>
    <w:rsid w:val="00F6016D"/>
    <w:rsid w:val="00F60505"/>
    <w:rsid w:val="00F607BD"/>
    <w:rsid w:val="00F60879"/>
    <w:rsid w:val="00F608A4"/>
    <w:rsid w:val="00F60A1F"/>
    <w:rsid w:val="00F60A5B"/>
    <w:rsid w:val="00F60D02"/>
    <w:rsid w:val="00F60D91"/>
    <w:rsid w:val="00F60E40"/>
    <w:rsid w:val="00F6103C"/>
    <w:rsid w:val="00F61230"/>
    <w:rsid w:val="00F6129D"/>
    <w:rsid w:val="00F6154D"/>
    <w:rsid w:val="00F6196D"/>
    <w:rsid w:val="00F619BD"/>
    <w:rsid w:val="00F619F0"/>
    <w:rsid w:val="00F61E03"/>
    <w:rsid w:val="00F61E09"/>
    <w:rsid w:val="00F62036"/>
    <w:rsid w:val="00F62156"/>
    <w:rsid w:val="00F623EF"/>
    <w:rsid w:val="00F624A6"/>
    <w:rsid w:val="00F6258D"/>
    <w:rsid w:val="00F6262C"/>
    <w:rsid w:val="00F627D2"/>
    <w:rsid w:val="00F62A43"/>
    <w:rsid w:val="00F62AF1"/>
    <w:rsid w:val="00F62B0B"/>
    <w:rsid w:val="00F62D99"/>
    <w:rsid w:val="00F6337E"/>
    <w:rsid w:val="00F638A4"/>
    <w:rsid w:val="00F63BF8"/>
    <w:rsid w:val="00F63CED"/>
    <w:rsid w:val="00F63DE2"/>
    <w:rsid w:val="00F63E00"/>
    <w:rsid w:val="00F6425A"/>
    <w:rsid w:val="00F642FB"/>
    <w:rsid w:val="00F64513"/>
    <w:rsid w:val="00F6456F"/>
    <w:rsid w:val="00F64585"/>
    <w:rsid w:val="00F647E1"/>
    <w:rsid w:val="00F64887"/>
    <w:rsid w:val="00F64ACF"/>
    <w:rsid w:val="00F64B56"/>
    <w:rsid w:val="00F64FEB"/>
    <w:rsid w:val="00F6501A"/>
    <w:rsid w:val="00F650CF"/>
    <w:rsid w:val="00F65285"/>
    <w:rsid w:val="00F65453"/>
    <w:rsid w:val="00F6564E"/>
    <w:rsid w:val="00F65944"/>
    <w:rsid w:val="00F65A30"/>
    <w:rsid w:val="00F65E48"/>
    <w:rsid w:val="00F65E98"/>
    <w:rsid w:val="00F660D1"/>
    <w:rsid w:val="00F6614C"/>
    <w:rsid w:val="00F6678F"/>
    <w:rsid w:val="00F66813"/>
    <w:rsid w:val="00F668C9"/>
    <w:rsid w:val="00F66968"/>
    <w:rsid w:val="00F669CA"/>
    <w:rsid w:val="00F66BA7"/>
    <w:rsid w:val="00F66DD1"/>
    <w:rsid w:val="00F66E43"/>
    <w:rsid w:val="00F67306"/>
    <w:rsid w:val="00F67326"/>
    <w:rsid w:val="00F67810"/>
    <w:rsid w:val="00F67822"/>
    <w:rsid w:val="00F67B0D"/>
    <w:rsid w:val="00F67D2A"/>
    <w:rsid w:val="00F67DBE"/>
    <w:rsid w:val="00F67E90"/>
    <w:rsid w:val="00F70026"/>
    <w:rsid w:val="00F70295"/>
    <w:rsid w:val="00F70412"/>
    <w:rsid w:val="00F70452"/>
    <w:rsid w:val="00F70894"/>
    <w:rsid w:val="00F7098C"/>
    <w:rsid w:val="00F70C1A"/>
    <w:rsid w:val="00F70D90"/>
    <w:rsid w:val="00F70F16"/>
    <w:rsid w:val="00F71141"/>
    <w:rsid w:val="00F7124A"/>
    <w:rsid w:val="00F71375"/>
    <w:rsid w:val="00F715ED"/>
    <w:rsid w:val="00F71880"/>
    <w:rsid w:val="00F718D2"/>
    <w:rsid w:val="00F71DC4"/>
    <w:rsid w:val="00F71E03"/>
    <w:rsid w:val="00F71E17"/>
    <w:rsid w:val="00F71F87"/>
    <w:rsid w:val="00F72016"/>
    <w:rsid w:val="00F72190"/>
    <w:rsid w:val="00F7226B"/>
    <w:rsid w:val="00F724C6"/>
    <w:rsid w:val="00F7253B"/>
    <w:rsid w:val="00F727AE"/>
    <w:rsid w:val="00F72825"/>
    <w:rsid w:val="00F729B1"/>
    <w:rsid w:val="00F72C5D"/>
    <w:rsid w:val="00F72CF2"/>
    <w:rsid w:val="00F73055"/>
    <w:rsid w:val="00F7330E"/>
    <w:rsid w:val="00F733E7"/>
    <w:rsid w:val="00F7388A"/>
    <w:rsid w:val="00F73970"/>
    <w:rsid w:val="00F73F00"/>
    <w:rsid w:val="00F74227"/>
    <w:rsid w:val="00F7437E"/>
    <w:rsid w:val="00F7440B"/>
    <w:rsid w:val="00F74516"/>
    <w:rsid w:val="00F745DB"/>
    <w:rsid w:val="00F74718"/>
    <w:rsid w:val="00F74838"/>
    <w:rsid w:val="00F74AD5"/>
    <w:rsid w:val="00F7525A"/>
    <w:rsid w:val="00F75377"/>
    <w:rsid w:val="00F75E2A"/>
    <w:rsid w:val="00F75EF9"/>
    <w:rsid w:val="00F76311"/>
    <w:rsid w:val="00F763C2"/>
    <w:rsid w:val="00F764C6"/>
    <w:rsid w:val="00F765F9"/>
    <w:rsid w:val="00F76690"/>
    <w:rsid w:val="00F7684F"/>
    <w:rsid w:val="00F76A17"/>
    <w:rsid w:val="00F76B12"/>
    <w:rsid w:val="00F76B33"/>
    <w:rsid w:val="00F76B97"/>
    <w:rsid w:val="00F76CF9"/>
    <w:rsid w:val="00F76F87"/>
    <w:rsid w:val="00F77203"/>
    <w:rsid w:val="00F7739B"/>
    <w:rsid w:val="00F774A4"/>
    <w:rsid w:val="00F776C9"/>
    <w:rsid w:val="00F7776A"/>
    <w:rsid w:val="00F77A35"/>
    <w:rsid w:val="00F77DD5"/>
    <w:rsid w:val="00F77DD8"/>
    <w:rsid w:val="00F77E34"/>
    <w:rsid w:val="00F77F1A"/>
    <w:rsid w:val="00F802C6"/>
    <w:rsid w:val="00F80586"/>
    <w:rsid w:val="00F807DF"/>
    <w:rsid w:val="00F80F24"/>
    <w:rsid w:val="00F81055"/>
    <w:rsid w:val="00F8111D"/>
    <w:rsid w:val="00F8132F"/>
    <w:rsid w:val="00F8143A"/>
    <w:rsid w:val="00F81523"/>
    <w:rsid w:val="00F8155D"/>
    <w:rsid w:val="00F817B8"/>
    <w:rsid w:val="00F81826"/>
    <w:rsid w:val="00F81886"/>
    <w:rsid w:val="00F81F69"/>
    <w:rsid w:val="00F82325"/>
    <w:rsid w:val="00F828FA"/>
    <w:rsid w:val="00F82B1D"/>
    <w:rsid w:val="00F82C56"/>
    <w:rsid w:val="00F82D00"/>
    <w:rsid w:val="00F82E3F"/>
    <w:rsid w:val="00F82EC1"/>
    <w:rsid w:val="00F82F64"/>
    <w:rsid w:val="00F83084"/>
    <w:rsid w:val="00F832F6"/>
    <w:rsid w:val="00F83565"/>
    <w:rsid w:val="00F83590"/>
    <w:rsid w:val="00F83683"/>
    <w:rsid w:val="00F83AE2"/>
    <w:rsid w:val="00F83B86"/>
    <w:rsid w:val="00F83C60"/>
    <w:rsid w:val="00F83E54"/>
    <w:rsid w:val="00F841FB"/>
    <w:rsid w:val="00F84637"/>
    <w:rsid w:val="00F84728"/>
    <w:rsid w:val="00F84A95"/>
    <w:rsid w:val="00F84C61"/>
    <w:rsid w:val="00F85152"/>
    <w:rsid w:val="00F851F5"/>
    <w:rsid w:val="00F854CD"/>
    <w:rsid w:val="00F8564B"/>
    <w:rsid w:val="00F857B9"/>
    <w:rsid w:val="00F859C0"/>
    <w:rsid w:val="00F85B1A"/>
    <w:rsid w:val="00F860DB"/>
    <w:rsid w:val="00F86205"/>
    <w:rsid w:val="00F8640D"/>
    <w:rsid w:val="00F8653A"/>
    <w:rsid w:val="00F866EC"/>
    <w:rsid w:val="00F86BA4"/>
    <w:rsid w:val="00F86C85"/>
    <w:rsid w:val="00F86C92"/>
    <w:rsid w:val="00F86F5E"/>
    <w:rsid w:val="00F87181"/>
    <w:rsid w:val="00F87226"/>
    <w:rsid w:val="00F87663"/>
    <w:rsid w:val="00F8772E"/>
    <w:rsid w:val="00F87C9B"/>
    <w:rsid w:val="00F9013A"/>
    <w:rsid w:val="00F90215"/>
    <w:rsid w:val="00F9023B"/>
    <w:rsid w:val="00F90338"/>
    <w:rsid w:val="00F90660"/>
    <w:rsid w:val="00F9073D"/>
    <w:rsid w:val="00F907D1"/>
    <w:rsid w:val="00F907D9"/>
    <w:rsid w:val="00F907F9"/>
    <w:rsid w:val="00F90E28"/>
    <w:rsid w:val="00F91158"/>
    <w:rsid w:val="00F912DC"/>
    <w:rsid w:val="00F914F6"/>
    <w:rsid w:val="00F9152D"/>
    <w:rsid w:val="00F915F5"/>
    <w:rsid w:val="00F91721"/>
    <w:rsid w:val="00F918B6"/>
    <w:rsid w:val="00F91C57"/>
    <w:rsid w:val="00F91C98"/>
    <w:rsid w:val="00F91CD4"/>
    <w:rsid w:val="00F91D8E"/>
    <w:rsid w:val="00F91E1E"/>
    <w:rsid w:val="00F920EF"/>
    <w:rsid w:val="00F921BB"/>
    <w:rsid w:val="00F922EB"/>
    <w:rsid w:val="00F924BB"/>
    <w:rsid w:val="00F927D8"/>
    <w:rsid w:val="00F929D2"/>
    <w:rsid w:val="00F92D14"/>
    <w:rsid w:val="00F92E09"/>
    <w:rsid w:val="00F92F09"/>
    <w:rsid w:val="00F92F19"/>
    <w:rsid w:val="00F92FAD"/>
    <w:rsid w:val="00F93186"/>
    <w:rsid w:val="00F93554"/>
    <w:rsid w:val="00F93756"/>
    <w:rsid w:val="00F93774"/>
    <w:rsid w:val="00F93917"/>
    <w:rsid w:val="00F93B01"/>
    <w:rsid w:val="00F93CEE"/>
    <w:rsid w:val="00F93D2B"/>
    <w:rsid w:val="00F93DB0"/>
    <w:rsid w:val="00F93FED"/>
    <w:rsid w:val="00F94010"/>
    <w:rsid w:val="00F94061"/>
    <w:rsid w:val="00F94465"/>
    <w:rsid w:val="00F9461C"/>
    <w:rsid w:val="00F946D5"/>
    <w:rsid w:val="00F946D8"/>
    <w:rsid w:val="00F94CF6"/>
    <w:rsid w:val="00F94D52"/>
    <w:rsid w:val="00F94FA8"/>
    <w:rsid w:val="00F95075"/>
    <w:rsid w:val="00F95086"/>
    <w:rsid w:val="00F951B3"/>
    <w:rsid w:val="00F953CA"/>
    <w:rsid w:val="00F95452"/>
    <w:rsid w:val="00F959E6"/>
    <w:rsid w:val="00F95B9E"/>
    <w:rsid w:val="00F95E0E"/>
    <w:rsid w:val="00F95F67"/>
    <w:rsid w:val="00F96A24"/>
    <w:rsid w:val="00F96C3F"/>
    <w:rsid w:val="00F96D98"/>
    <w:rsid w:val="00F970B7"/>
    <w:rsid w:val="00F97509"/>
    <w:rsid w:val="00F975CA"/>
    <w:rsid w:val="00F97800"/>
    <w:rsid w:val="00F9786C"/>
    <w:rsid w:val="00F97A52"/>
    <w:rsid w:val="00F97AAA"/>
    <w:rsid w:val="00F97AFE"/>
    <w:rsid w:val="00F97B05"/>
    <w:rsid w:val="00F97B60"/>
    <w:rsid w:val="00F97CB0"/>
    <w:rsid w:val="00FA03DE"/>
    <w:rsid w:val="00FA040F"/>
    <w:rsid w:val="00FA058B"/>
    <w:rsid w:val="00FA0776"/>
    <w:rsid w:val="00FA083E"/>
    <w:rsid w:val="00FA084A"/>
    <w:rsid w:val="00FA09FC"/>
    <w:rsid w:val="00FA0BD1"/>
    <w:rsid w:val="00FA11D5"/>
    <w:rsid w:val="00FA131D"/>
    <w:rsid w:val="00FA136A"/>
    <w:rsid w:val="00FA1587"/>
    <w:rsid w:val="00FA17FE"/>
    <w:rsid w:val="00FA181D"/>
    <w:rsid w:val="00FA1A2D"/>
    <w:rsid w:val="00FA201C"/>
    <w:rsid w:val="00FA206F"/>
    <w:rsid w:val="00FA20AC"/>
    <w:rsid w:val="00FA2271"/>
    <w:rsid w:val="00FA22F6"/>
    <w:rsid w:val="00FA2447"/>
    <w:rsid w:val="00FA2609"/>
    <w:rsid w:val="00FA2770"/>
    <w:rsid w:val="00FA288A"/>
    <w:rsid w:val="00FA28C0"/>
    <w:rsid w:val="00FA2CCA"/>
    <w:rsid w:val="00FA2CF9"/>
    <w:rsid w:val="00FA2F05"/>
    <w:rsid w:val="00FA3832"/>
    <w:rsid w:val="00FA3928"/>
    <w:rsid w:val="00FA3985"/>
    <w:rsid w:val="00FA3A6F"/>
    <w:rsid w:val="00FA3B30"/>
    <w:rsid w:val="00FA3E70"/>
    <w:rsid w:val="00FA3F79"/>
    <w:rsid w:val="00FA452D"/>
    <w:rsid w:val="00FA46B8"/>
    <w:rsid w:val="00FA4958"/>
    <w:rsid w:val="00FA4B66"/>
    <w:rsid w:val="00FA4FCD"/>
    <w:rsid w:val="00FA5303"/>
    <w:rsid w:val="00FA582B"/>
    <w:rsid w:val="00FA5F25"/>
    <w:rsid w:val="00FA5FCA"/>
    <w:rsid w:val="00FA6175"/>
    <w:rsid w:val="00FA62A9"/>
    <w:rsid w:val="00FA64C7"/>
    <w:rsid w:val="00FA657B"/>
    <w:rsid w:val="00FA65BB"/>
    <w:rsid w:val="00FA6708"/>
    <w:rsid w:val="00FA6B3D"/>
    <w:rsid w:val="00FA6EF5"/>
    <w:rsid w:val="00FA7381"/>
    <w:rsid w:val="00FA7393"/>
    <w:rsid w:val="00FA75AC"/>
    <w:rsid w:val="00FA7658"/>
    <w:rsid w:val="00FA76BD"/>
    <w:rsid w:val="00FA77B5"/>
    <w:rsid w:val="00FA780C"/>
    <w:rsid w:val="00FA7900"/>
    <w:rsid w:val="00FA7A7F"/>
    <w:rsid w:val="00FA7B47"/>
    <w:rsid w:val="00FA7D37"/>
    <w:rsid w:val="00FA7F57"/>
    <w:rsid w:val="00FB00CA"/>
    <w:rsid w:val="00FB0255"/>
    <w:rsid w:val="00FB02AF"/>
    <w:rsid w:val="00FB048B"/>
    <w:rsid w:val="00FB05BE"/>
    <w:rsid w:val="00FB085E"/>
    <w:rsid w:val="00FB0929"/>
    <w:rsid w:val="00FB096B"/>
    <w:rsid w:val="00FB0A09"/>
    <w:rsid w:val="00FB0AFB"/>
    <w:rsid w:val="00FB0F87"/>
    <w:rsid w:val="00FB10B1"/>
    <w:rsid w:val="00FB1225"/>
    <w:rsid w:val="00FB127B"/>
    <w:rsid w:val="00FB12E3"/>
    <w:rsid w:val="00FB12FB"/>
    <w:rsid w:val="00FB1382"/>
    <w:rsid w:val="00FB1393"/>
    <w:rsid w:val="00FB1564"/>
    <w:rsid w:val="00FB1D32"/>
    <w:rsid w:val="00FB1DB7"/>
    <w:rsid w:val="00FB2543"/>
    <w:rsid w:val="00FB2864"/>
    <w:rsid w:val="00FB2F77"/>
    <w:rsid w:val="00FB3185"/>
    <w:rsid w:val="00FB34F2"/>
    <w:rsid w:val="00FB3B35"/>
    <w:rsid w:val="00FB3CEE"/>
    <w:rsid w:val="00FB3D3D"/>
    <w:rsid w:val="00FB3E3A"/>
    <w:rsid w:val="00FB4272"/>
    <w:rsid w:val="00FB4391"/>
    <w:rsid w:val="00FB46EE"/>
    <w:rsid w:val="00FB48C1"/>
    <w:rsid w:val="00FB49EB"/>
    <w:rsid w:val="00FB4B4A"/>
    <w:rsid w:val="00FB4B87"/>
    <w:rsid w:val="00FB4D51"/>
    <w:rsid w:val="00FB4DBB"/>
    <w:rsid w:val="00FB51FD"/>
    <w:rsid w:val="00FB535E"/>
    <w:rsid w:val="00FB54EE"/>
    <w:rsid w:val="00FB55AC"/>
    <w:rsid w:val="00FB5C08"/>
    <w:rsid w:val="00FB5DC3"/>
    <w:rsid w:val="00FB61AE"/>
    <w:rsid w:val="00FB65FB"/>
    <w:rsid w:val="00FB66F1"/>
    <w:rsid w:val="00FB69D3"/>
    <w:rsid w:val="00FB6A94"/>
    <w:rsid w:val="00FB6BA6"/>
    <w:rsid w:val="00FB6E1F"/>
    <w:rsid w:val="00FB6EB2"/>
    <w:rsid w:val="00FB70F2"/>
    <w:rsid w:val="00FB7581"/>
    <w:rsid w:val="00FB7735"/>
    <w:rsid w:val="00FB78B8"/>
    <w:rsid w:val="00FB7994"/>
    <w:rsid w:val="00FB7DAE"/>
    <w:rsid w:val="00FC00E6"/>
    <w:rsid w:val="00FC03AF"/>
    <w:rsid w:val="00FC04F0"/>
    <w:rsid w:val="00FC05A7"/>
    <w:rsid w:val="00FC0734"/>
    <w:rsid w:val="00FC07D7"/>
    <w:rsid w:val="00FC09B1"/>
    <w:rsid w:val="00FC0B59"/>
    <w:rsid w:val="00FC0C05"/>
    <w:rsid w:val="00FC0E42"/>
    <w:rsid w:val="00FC0E7E"/>
    <w:rsid w:val="00FC0F47"/>
    <w:rsid w:val="00FC1397"/>
    <w:rsid w:val="00FC1458"/>
    <w:rsid w:val="00FC17DD"/>
    <w:rsid w:val="00FC18BA"/>
    <w:rsid w:val="00FC1A6F"/>
    <w:rsid w:val="00FC1A7D"/>
    <w:rsid w:val="00FC1D34"/>
    <w:rsid w:val="00FC1DD3"/>
    <w:rsid w:val="00FC1DE3"/>
    <w:rsid w:val="00FC20E3"/>
    <w:rsid w:val="00FC2115"/>
    <w:rsid w:val="00FC21CA"/>
    <w:rsid w:val="00FC2523"/>
    <w:rsid w:val="00FC25CA"/>
    <w:rsid w:val="00FC281A"/>
    <w:rsid w:val="00FC28A7"/>
    <w:rsid w:val="00FC2D52"/>
    <w:rsid w:val="00FC3921"/>
    <w:rsid w:val="00FC39A1"/>
    <w:rsid w:val="00FC39E7"/>
    <w:rsid w:val="00FC3AC1"/>
    <w:rsid w:val="00FC3C88"/>
    <w:rsid w:val="00FC3DC3"/>
    <w:rsid w:val="00FC3FF4"/>
    <w:rsid w:val="00FC4481"/>
    <w:rsid w:val="00FC4485"/>
    <w:rsid w:val="00FC466B"/>
    <w:rsid w:val="00FC47F2"/>
    <w:rsid w:val="00FC494A"/>
    <w:rsid w:val="00FC49B1"/>
    <w:rsid w:val="00FC4D7E"/>
    <w:rsid w:val="00FC4ECB"/>
    <w:rsid w:val="00FC5132"/>
    <w:rsid w:val="00FC519F"/>
    <w:rsid w:val="00FC51EE"/>
    <w:rsid w:val="00FC5689"/>
    <w:rsid w:val="00FC571F"/>
    <w:rsid w:val="00FC5955"/>
    <w:rsid w:val="00FC59A7"/>
    <w:rsid w:val="00FC5B3A"/>
    <w:rsid w:val="00FC5D1A"/>
    <w:rsid w:val="00FC5D8F"/>
    <w:rsid w:val="00FC5E7D"/>
    <w:rsid w:val="00FC5FAB"/>
    <w:rsid w:val="00FC615F"/>
    <w:rsid w:val="00FC6187"/>
    <w:rsid w:val="00FC6627"/>
    <w:rsid w:val="00FC666D"/>
    <w:rsid w:val="00FC668C"/>
    <w:rsid w:val="00FC6A7C"/>
    <w:rsid w:val="00FC6ACE"/>
    <w:rsid w:val="00FC6B11"/>
    <w:rsid w:val="00FC6BA0"/>
    <w:rsid w:val="00FC6C6B"/>
    <w:rsid w:val="00FC6CED"/>
    <w:rsid w:val="00FC6D4D"/>
    <w:rsid w:val="00FC6DC6"/>
    <w:rsid w:val="00FC6DC8"/>
    <w:rsid w:val="00FC7136"/>
    <w:rsid w:val="00FC732F"/>
    <w:rsid w:val="00FC78F2"/>
    <w:rsid w:val="00FC79F1"/>
    <w:rsid w:val="00FC7B07"/>
    <w:rsid w:val="00FC7B5F"/>
    <w:rsid w:val="00FC7F40"/>
    <w:rsid w:val="00FD0085"/>
    <w:rsid w:val="00FD00E9"/>
    <w:rsid w:val="00FD0213"/>
    <w:rsid w:val="00FD02D1"/>
    <w:rsid w:val="00FD0379"/>
    <w:rsid w:val="00FD075F"/>
    <w:rsid w:val="00FD0923"/>
    <w:rsid w:val="00FD0A86"/>
    <w:rsid w:val="00FD0B3B"/>
    <w:rsid w:val="00FD0BC1"/>
    <w:rsid w:val="00FD0CDB"/>
    <w:rsid w:val="00FD0E1A"/>
    <w:rsid w:val="00FD16D8"/>
    <w:rsid w:val="00FD18B1"/>
    <w:rsid w:val="00FD1A55"/>
    <w:rsid w:val="00FD1ACC"/>
    <w:rsid w:val="00FD1C68"/>
    <w:rsid w:val="00FD1E95"/>
    <w:rsid w:val="00FD23B4"/>
    <w:rsid w:val="00FD2550"/>
    <w:rsid w:val="00FD29A8"/>
    <w:rsid w:val="00FD2D47"/>
    <w:rsid w:val="00FD2E5A"/>
    <w:rsid w:val="00FD3077"/>
    <w:rsid w:val="00FD329F"/>
    <w:rsid w:val="00FD332B"/>
    <w:rsid w:val="00FD3796"/>
    <w:rsid w:val="00FD3868"/>
    <w:rsid w:val="00FD3A18"/>
    <w:rsid w:val="00FD3CEB"/>
    <w:rsid w:val="00FD3FD0"/>
    <w:rsid w:val="00FD40D1"/>
    <w:rsid w:val="00FD4311"/>
    <w:rsid w:val="00FD500A"/>
    <w:rsid w:val="00FD535F"/>
    <w:rsid w:val="00FD5AF2"/>
    <w:rsid w:val="00FD5B3D"/>
    <w:rsid w:val="00FD5F67"/>
    <w:rsid w:val="00FD6106"/>
    <w:rsid w:val="00FD6174"/>
    <w:rsid w:val="00FD62E9"/>
    <w:rsid w:val="00FD684C"/>
    <w:rsid w:val="00FD6B28"/>
    <w:rsid w:val="00FD6CE6"/>
    <w:rsid w:val="00FD6DFD"/>
    <w:rsid w:val="00FD6E5F"/>
    <w:rsid w:val="00FD7143"/>
    <w:rsid w:val="00FD7253"/>
    <w:rsid w:val="00FD7268"/>
    <w:rsid w:val="00FD7359"/>
    <w:rsid w:val="00FD76CE"/>
    <w:rsid w:val="00FD79DD"/>
    <w:rsid w:val="00FD7B21"/>
    <w:rsid w:val="00FD7E4D"/>
    <w:rsid w:val="00FE014C"/>
    <w:rsid w:val="00FE02B0"/>
    <w:rsid w:val="00FE0776"/>
    <w:rsid w:val="00FE0887"/>
    <w:rsid w:val="00FE08F8"/>
    <w:rsid w:val="00FE0966"/>
    <w:rsid w:val="00FE096A"/>
    <w:rsid w:val="00FE0B0A"/>
    <w:rsid w:val="00FE0B15"/>
    <w:rsid w:val="00FE0B42"/>
    <w:rsid w:val="00FE0BC1"/>
    <w:rsid w:val="00FE0C20"/>
    <w:rsid w:val="00FE0FAF"/>
    <w:rsid w:val="00FE0FEF"/>
    <w:rsid w:val="00FE1460"/>
    <w:rsid w:val="00FE16CD"/>
    <w:rsid w:val="00FE176D"/>
    <w:rsid w:val="00FE1781"/>
    <w:rsid w:val="00FE17B7"/>
    <w:rsid w:val="00FE1A02"/>
    <w:rsid w:val="00FE1C57"/>
    <w:rsid w:val="00FE1C7A"/>
    <w:rsid w:val="00FE1EA9"/>
    <w:rsid w:val="00FE2134"/>
    <w:rsid w:val="00FE26B1"/>
    <w:rsid w:val="00FE28C9"/>
    <w:rsid w:val="00FE2A8C"/>
    <w:rsid w:val="00FE2ACD"/>
    <w:rsid w:val="00FE3010"/>
    <w:rsid w:val="00FE304E"/>
    <w:rsid w:val="00FE30E8"/>
    <w:rsid w:val="00FE333A"/>
    <w:rsid w:val="00FE3351"/>
    <w:rsid w:val="00FE3480"/>
    <w:rsid w:val="00FE35CB"/>
    <w:rsid w:val="00FE3A73"/>
    <w:rsid w:val="00FE3A9A"/>
    <w:rsid w:val="00FE3C0E"/>
    <w:rsid w:val="00FE3C31"/>
    <w:rsid w:val="00FE4159"/>
    <w:rsid w:val="00FE41FD"/>
    <w:rsid w:val="00FE42B9"/>
    <w:rsid w:val="00FE45EE"/>
    <w:rsid w:val="00FE476D"/>
    <w:rsid w:val="00FE48CC"/>
    <w:rsid w:val="00FE48D0"/>
    <w:rsid w:val="00FE4921"/>
    <w:rsid w:val="00FE4A03"/>
    <w:rsid w:val="00FE4BCA"/>
    <w:rsid w:val="00FE4C50"/>
    <w:rsid w:val="00FE4D95"/>
    <w:rsid w:val="00FE4E41"/>
    <w:rsid w:val="00FE4F05"/>
    <w:rsid w:val="00FE5040"/>
    <w:rsid w:val="00FE50CF"/>
    <w:rsid w:val="00FE531D"/>
    <w:rsid w:val="00FE55AB"/>
    <w:rsid w:val="00FE5982"/>
    <w:rsid w:val="00FE5AA9"/>
    <w:rsid w:val="00FE5B03"/>
    <w:rsid w:val="00FE5B16"/>
    <w:rsid w:val="00FE5B1B"/>
    <w:rsid w:val="00FE5C59"/>
    <w:rsid w:val="00FE5C8B"/>
    <w:rsid w:val="00FE5D79"/>
    <w:rsid w:val="00FE5E82"/>
    <w:rsid w:val="00FE5E90"/>
    <w:rsid w:val="00FE6058"/>
    <w:rsid w:val="00FE6089"/>
    <w:rsid w:val="00FE60A0"/>
    <w:rsid w:val="00FE6591"/>
    <w:rsid w:val="00FE695D"/>
    <w:rsid w:val="00FE6966"/>
    <w:rsid w:val="00FE6AA4"/>
    <w:rsid w:val="00FE6B7E"/>
    <w:rsid w:val="00FE6CB4"/>
    <w:rsid w:val="00FE6EC3"/>
    <w:rsid w:val="00FE71F5"/>
    <w:rsid w:val="00FE7444"/>
    <w:rsid w:val="00FE773F"/>
    <w:rsid w:val="00FE77AC"/>
    <w:rsid w:val="00FE789C"/>
    <w:rsid w:val="00FE7A09"/>
    <w:rsid w:val="00FE7B62"/>
    <w:rsid w:val="00FE7D55"/>
    <w:rsid w:val="00FE7DFD"/>
    <w:rsid w:val="00FE7EF4"/>
    <w:rsid w:val="00FE7F87"/>
    <w:rsid w:val="00FF0049"/>
    <w:rsid w:val="00FF01EE"/>
    <w:rsid w:val="00FF077F"/>
    <w:rsid w:val="00FF0954"/>
    <w:rsid w:val="00FF0B21"/>
    <w:rsid w:val="00FF0D81"/>
    <w:rsid w:val="00FF0EA6"/>
    <w:rsid w:val="00FF108E"/>
    <w:rsid w:val="00FF1381"/>
    <w:rsid w:val="00FF14DA"/>
    <w:rsid w:val="00FF15EA"/>
    <w:rsid w:val="00FF1607"/>
    <w:rsid w:val="00FF170A"/>
    <w:rsid w:val="00FF18A6"/>
    <w:rsid w:val="00FF19C2"/>
    <w:rsid w:val="00FF1A27"/>
    <w:rsid w:val="00FF1C68"/>
    <w:rsid w:val="00FF1D8D"/>
    <w:rsid w:val="00FF1DC7"/>
    <w:rsid w:val="00FF1E90"/>
    <w:rsid w:val="00FF1F76"/>
    <w:rsid w:val="00FF20E3"/>
    <w:rsid w:val="00FF20F9"/>
    <w:rsid w:val="00FF26FE"/>
    <w:rsid w:val="00FF2771"/>
    <w:rsid w:val="00FF2886"/>
    <w:rsid w:val="00FF28D8"/>
    <w:rsid w:val="00FF2A22"/>
    <w:rsid w:val="00FF2A65"/>
    <w:rsid w:val="00FF2D0D"/>
    <w:rsid w:val="00FF2DFF"/>
    <w:rsid w:val="00FF31F6"/>
    <w:rsid w:val="00FF320F"/>
    <w:rsid w:val="00FF32DE"/>
    <w:rsid w:val="00FF3465"/>
    <w:rsid w:val="00FF3BF7"/>
    <w:rsid w:val="00FF3C4B"/>
    <w:rsid w:val="00FF3FC1"/>
    <w:rsid w:val="00FF44FE"/>
    <w:rsid w:val="00FF477F"/>
    <w:rsid w:val="00FF4842"/>
    <w:rsid w:val="00FF4883"/>
    <w:rsid w:val="00FF4BD9"/>
    <w:rsid w:val="00FF5100"/>
    <w:rsid w:val="00FF5155"/>
    <w:rsid w:val="00FF53C5"/>
    <w:rsid w:val="00FF5473"/>
    <w:rsid w:val="00FF556E"/>
    <w:rsid w:val="00FF57CD"/>
    <w:rsid w:val="00FF58C5"/>
    <w:rsid w:val="00FF5A02"/>
    <w:rsid w:val="00FF5C0C"/>
    <w:rsid w:val="00FF5F97"/>
    <w:rsid w:val="00FF61B8"/>
    <w:rsid w:val="00FF61CB"/>
    <w:rsid w:val="00FF6715"/>
    <w:rsid w:val="00FF6909"/>
    <w:rsid w:val="00FF6B4F"/>
    <w:rsid w:val="00FF6BE6"/>
    <w:rsid w:val="00FF6D6D"/>
    <w:rsid w:val="00FF6E89"/>
    <w:rsid w:val="00FF7034"/>
    <w:rsid w:val="00FF7125"/>
    <w:rsid w:val="00FF7180"/>
    <w:rsid w:val="00FF71F3"/>
    <w:rsid w:val="00FF7383"/>
    <w:rsid w:val="00FF7579"/>
    <w:rsid w:val="00FF775D"/>
    <w:rsid w:val="00FF7897"/>
    <w:rsid w:val="00FF7AF6"/>
    <w:rsid w:val="00FF7C95"/>
    <w:rsid w:val="00FF7FDD"/>
    <w:rsid w:val="010612A8"/>
    <w:rsid w:val="010B36FB"/>
    <w:rsid w:val="01100295"/>
    <w:rsid w:val="012A76A2"/>
    <w:rsid w:val="012C30B6"/>
    <w:rsid w:val="01304479"/>
    <w:rsid w:val="01337146"/>
    <w:rsid w:val="013A1982"/>
    <w:rsid w:val="013C7ABE"/>
    <w:rsid w:val="01416052"/>
    <w:rsid w:val="01437B15"/>
    <w:rsid w:val="01445656"/>
    <w:rsid w:val="014D0330"/>
    <w:rsid w:val="0153529B"/>
    <w:rsid w:val="015D2C5A"/>
    <w:rsid w:val="01625121"/>
    <w:rsid w:val="016E3FD2"/>
    <w:rsid w:val="017C0B25"/>
    <w:rsid w:val="0188380C"/>
    <w:rsid w:val="01884485"/>
    <w:rsid w:val="018A7F7D"/>
    <w:rsid w:val="019F650E"/>
    <w:rsid w:val="01A30B16"/>
    <w:rsid w:val="01AE5321"/>
    <w:rsid w:val="01B507DC"/>
    <w:rsid w:val="01B65153"/>
    <w:rsid w:val="01B91D01"/>
    <w:rsid w:val="01C03D74"/>
    <w:rsid w:val="01C45BDA"/>
    <w:rsid w:val="01D00756"/>
    <w:rsid w:val="01D612EC"/>
    <w:rsid w:val="01E66B6C"/>
    <w:rsid w:val="020D3C38"/>
    <w:rsid w:val="021A0FCD"/>
    <w:rsid w:val="02240C57"/>
    <w:rsid w:val="02254E29"/>
    <w:rsid w:val="02316D55"/>
    <w:rsid w:val="02327FAA"/>
    <w:rsid w:val="023B0B0B"/>
    <w:rsid w:val="02552B47"/>
    <w:rsid w:val="02555E93"/>
    <w:rsid w:val="025577AA"/>
    <w:rsid w:val="025D572F"/>
    <w:rsid w:val="026B0D95"/>
    <w:rsid w:val="026F755C"/>
    <w:rsid w:val="0296180D"/>
    <w:rsid w:val="029A6FE1"/>
    <w:rsid w:val="02A950B2"/>
    <w:rsid w:val="02AD0D37"/>
    <w:rsid w:val="02BB2DB4"/>
    <w:rsid w:val="02CA618D"/>
    <w:rsid w:val="02CD08E3"/>
    <w:rsid w:val="02CD0F4E"/>
    <w:rsid w:val="02D53A42"/>
    <w:rsid w:val="02DC353C"/>
    <w:rsid w:val="02E638DF"/>
    <w:rsid w:val="02F277F9"/>
    <w:rsid w:val="03032489"/>
    <w:rsid w:val="03073250"/>
    <w:rsid w:val="03143919"/>
    <w:rsid w:val="031867F4"/>
    <w:rsid w:val="031B3847"/>
    <w:rsid w:val="031E3B7B"/>
    <w:rsid w:val="03244C84"/>
    <w:rsid w:val="032F2531"/>
    <w:rsid w:val="032F5FDC"/>
    <w:rsid w:val="03346394"/>
    <w:rsid w:val="033809EF"/>
    <w:rsid w:val="03392BCA"/>
    <w:rsid w:val="034E2952"/>
    <w:rsid w:val="03654A2B"/>
    <w:rsid w:val="036E239F"/>
    <w:rsid w:val="037F01D1"/>
    <w:rsid w:val="038365E0"/>
    <w:rsid w:val="039B2B81"/>
    <w:rsid w:val="039B56C5"/>
    <w:rsid w:val="03A055EE"/>
    <w:rsid w:val="03AA13AD"/>
    <w:rsid w:val="03AC4D72"/>
    <w:rsid w:val="03CE1815"/>
    <w:rsid w:val="03DF40C5"/>
    <w:rsid w:val="0402104D"/>
    <w:rsid w:val="04137423"/>
    <w:rsid w:val="04183C78"/>
    <w:rsid w:val="04192C1E"/>
    <w:rsid w:val="042F7CDB"/>
    <w:rsid w:val="0445055B"/>
    <w:rsid w:val="044C377A"/>
    <w:rsid w:val="04567F4F"/>
    <w:rsid w:val="045B5B73"/>
    <w:rsid w:val="046D6326"/>
    <w:rsid w:val="048E075B"/>
    <w:rsid w:val="049D4A7A"/>
    <w:rsid w:val="049E27CE"/>
    <w:rsid w:val="04A10F3E"/>
    <w:rsid w:val="04AD3917"/>
    <w:rsid w:val="04B068CB"/>
    <w:rsid w:val="04BB6652"/>
    <w:rsid w:val="04D162C5"/>
    <w:rsid w:val="04D82FF9"/>
    <w:rsid w:val="04E06AA8"/>
    <w:rsid w:val="04F513FD"/>
    <w:rsid w:val="04F5789B"/>
    <w:rsid w:val="050262F3"/>
    <w:rsid w:val="05205E27"/>
    <w:rsid w:val="052962F7"/>
    <w:rsid w:val="053B1715"/>
    <w:rsid w:val="0541059C"/>
    <w:rsid w:val="05422F5F"/>
    <w:rsid w:val="0552089B"/>
    <w:rsid w:val="05730EE0"/>
    <w:rsid w:val="05785AF5"/>
    <w:rsid w:val="0587363E"/>
    <w:rsid w:val="05885C8D"/>
    <w:rsid w:val="05925BE4"/>
    <w:rsid w:val="05A73CC9"/>
    <w:rsid w:val="05A772E5"/>
    <w:rsid w:val="05AA5598"/>
    <w:rsid w:val="05B72794"/>
    <w:rsid w:val="05B727B0"/>
    <w:rsid w:val="05C14FC7"/>
    <w:rsid w:val="05C3381E"/>
    <w:rsid w:val="05D04A0B"/>
    <w:rsid w:val="05D16ADB"/>
    <w:rsid w:val="05D23F4D"/>
    <w:rsid w:val="05DB0F41"/>
    <w:rsid w:val="05DC704E"/>
    <w:rsid w:val="05E96148"/>
    <w:rsid w:val="05FB7CB2"/>
    <w:rsid w:val="062F620D"/>
    <w:rsid w:val="06446D23"/>
    <w:rsid w:val="0649488B"/>
    <w:rsid w:val="065106B6"/>
    <w:rsid w:val="065558BB"/>
    <w:rsid w:val="065C61FB"/>
    <w:rsid w:val="066619DD"/>
    <w:rsid w:val="066B72B5"/>
    <w:rsid w:val="066F5661"/>
    <w:rsid w:val="06797E8B"/>
    <w:rsid w:val="069260CD"/>
    <w:rsid w:val="06C41A1C"/>
    <w:rsid w:val="06D3514C"/>
    <w:rsid w:val="06DA1F00"/>
    <w:rsid w:val="071F6FBC"/>
    <w:rsid w:val="072A041A"/>
    <w:rsid w:val="07426BBA"/>
    <w:rsid w:val="074E4114"/>
    <w:rsid w:val="075053F6"/>
    <w:rsid w:val="0755753A"/>
    <w:rsid w:val="075D1779"/>
    <w:rsid w:val="075E2901"/>
    <w:rsid w:val="07626DAC"/>
    <w:rsid w:val="076E4FEB"/>
    <w:rsid w:val="077430C5"/>
    <w:rsid w:val="079D445A"/>
    <w:rsid w:val="07A00FC2"/>
    <w:rsid w:val="07AF3464"/>
    <w:rsid w:val="07D33DB3"/>
    <w:rsid w:val="07DE43DA"/>
    <w:rsid w:val="07EF134F"/>
    <w:rsid w:val="07F23039"/>
    <w:rsid w:val="08053115"/>
    <w:rsid w:val="08082DB6"/>
    <w:rsid w:val="080A2BF4"/>
    <w:rsid w:val="082457B1"/>
    <w:rsid w:val="082B60B6"/>
    <w:rsid w:val="083E4D82"/>
    <w:rsid w:val="086D53CF"/>
    <w:rsid w:val="086F754D"/>
    <w:rsid w:val="08725077"/>
    <w:rsid w:val="088074C0"/>
    <w:rsid w:val="08856B51"/>
    <w:rsid w:val="0887032D"/>
    <w:rsid w:val="088D51BA"/>
    <w:rsid w:val="08901056"/>
    <w:rsid w:val="08915FD5"/>
    <w:rsid w:val="08996E19"/>
    <w:rsid w:val="089D35B2"/>
    <w:rsid w:val="089E6740"/>
    <w:rsid w:val="08D502A8"/>
    <w:rsid w:val="08FA79FD"/>
    <w:rsid w:val="091A05F9"/>
    <w:rsid w:val="092B0628"/>
    <w:rsid w:val="092D13EE"/>
    <w:rsid w:val="093A0992"/>
    <w:rsid w:val="093A773B"/>
    <w:rsid w:val="095E59CB"/>
    <w:rsid w:val="09651A9C"/>
    <w:rsid w:val="09696808"/>
    <w:rsid w:val="096B4AE1"/>
    <w:rsid w:val="09767414"/>
    <w:rsid w:val="098651B2"/>
    <w:rsid w:val="09895B27"/>
    <w:rsid w:val="098C0E21"/>
    <w:rsid w:val="099020E8"/>
    <w:rsid w:val="09A22B51"/>
    <w:rsid w:val="09AA3C3A"/>
    <w:rsid w:val="09B26AE6"/>
    <w:rsid w:val="09CE1DD6"/>
    <w:rsid w:val="09F14EDE"/>
    <w:rsid w:val="09F75447"/>
    <w:rsid w:val="0A020B17"/>
    <w:rsid w:val="0A050B24"/>
    <w:rsid w:val="0A0C40B3"/>
    <w:rsid w:val="0A0E22D7"/>
    <w:rsid w:val="0A1C75AB"/>
    <w:rsid w:val="0A301951"/>
    <w:rsid w:val="0A311E50"/>
    <w:rsid w:val="0A340CB2"/>
    <w:rsid w:val="0A457DC5"/>
    <w:rsid w:val="0A6556A2"/>
    <w:rsid w:val="0A756746"/>
    <w:rsid w:val="0A7937BE"/>
    <w:rsid w:val="0A794B20"/>
    <w:rsid w:val="0A807C16"/>
    <w:rsid w:val="0AA21E06"/>
    <w:rsid w:val="0AA60C5B"/>
    <w:rsid w:val="0AA669F3"/>
    <w:rsid w:val="0AAC5A9F"/>
    <w:rsid w:val="0AB21F4E"/>
    <w:rsid w:val="0AC03568"/>
    <w:rsid w:val="0AC403B4"/>
    <w:rsid w:val="0AD30B98"/>
    <w:rsid w:val="0AD46157"/>
    <w:rsid w:val="0AD67997"/>
    <w:rsid w:val="0AD911E5"/>
    <w:rsid w:val="0AF056F7"/>
    <w:rsid w:val="0B0958E7"/>
    <w:rsid w:val="0B1665A3"/>
    <w:rsid w:val="0B240579"/>
    <w:rsid w:val="0B33709F"/>
    <w:rsid w:val="0B390700"/>
    <w:rsid w:val="0B3B3A76"/>
    <w:rsid w:val="0B3F42D9"/>
    <w:rsid w:val="0B407F43"/>
    <w:rsid w:val="0B49021C"/>
    <w:rsid w:val="0B4A1338"/>
    <w:rsid w:val="0B4A3BF8"/>
    <w:rsid w:val="0B4A7050"/>
    <w:rsid w:val="0B5A1EC6"/>
    <w:rsid w:val="0B621FA1"/>
    <w:rsid w:val="0B790A40"/>
    <w:rsid w:val="0B9A3EEF"/>
    <w:rsid w:val="0B9D7EEC"/>
    <w:rsid w:val="0BAD5B25"/>
    <w:rsid w:val="0BBC490E"/>
    <w:rsid w:val="0BC32EF1"/>
    <w:rsid w:val="0BCF51BF"/>
    <w:rsid w:val="0BD52828"/>
    <w:rsid w:val="0BDB339C"/>
    <w:rsid w:val="0BE10656"/>
    <w:rsid w:val="0BF21FD7"/>
    <w:rsid w:val="0BF530D6"/>
    <w:rsid w:val="0C080866"/>
    <w:rsid w:val="0C1251C7"/>
    <w:rsid w:val="0C156FE7"/>
    <w:rsid w:val="0C2A5268"/>
    <w:rsid w:val="0C2D16DF"/>
    <w:rsid w:val="0C3733CE"/>
    <w:rsid w:val="0C3E062C"/>
    <w:rsid w:val="0C424A20"/>
    <w:rsid w:val="0C4D67BD"/>
    <w:rsid w:val="0C612F9D"/>
    <w:rsid w:val="0C6421AA"/>
    <w:rsid w:val="0C6C1050"/>
    <w:rsid w:val="0C6D125A"/>
    <w:rsid w:val="0C7F70A4"/>
    <w:rsid w:val="0C890665"/>
    <w:rsid w:val="0C8D3ACB"/>
    <w:rsid w:val="0C940A3C"/>
    <w:rsid w:val="0C9D5BC4"/>
    <w:rsid w:val="0CAD56BA"/>
    <w:rsid w:val="0CB25862"/>
    <w:rsid w:val="0CB36F59"/>
    <w:rsid w:val="0CB92F14"/>
    <w:rsid w:val="0CBC241A"/>
    <w:rsid w:val="0CBE1361"/>
    <w:rsid w:val="0CC91491"/>
    <w:rsid w:val="0CC94597"/>
    <w:rsid w:val="0CD20FDF"/>
    <w:rsid w:val="0CD32D2C"/>
    <w:rsid w:val="0CD76A20"/>
    <w:rsid w:val="0CDB781C"/>
    <w:rsid w:val="0CF12A7B"/>
    <w:rsid w:val="0CFC20C1"/>
    <w:rsid w:val="0D176BC8"/>
    <w:rsid w:val="0D223C02"/>
    <w:rsid w:val="0D2467C4"/>
    <w:rsid w:val="0D2E7232"/>
    <w:rsid w:val="0D377440"/>
    <w:rsid w:val="0D3E0A5E"/>
    <w:rsid w:val="0D402DB6"/>
    <w:rsid w:val="0D6240F4"/>
    <w:rsid w:val="0D647AB2"/>
    <w:rsid w:val="0D6937EC"/>
    <w:rsid w:val="0D696D02"/>
    <w:rsid w:val="0D6C35F1"/>
    <w:rsid w:val="0D734582"/>
    <w:rsid w:val="0D7A59FC"/>
    <w:rsid w:val="0D8124F9"/>
    <w:rsid w:val="0D8977E6"/>
    <w:rsid w:val="0D8E4767"/>
    <w:rsid w:val="0D901B63"/>
    <w:rsid w:val="0D945049"/>
    <w:rsid w:val="0DAF622D"/>
    <w:rsid w:val="0DBE41F4"/>
    <w:rsid w:val="0DC07AA7"/>
    <w:rsid w:val="0DCD2A4F"/>
    <w:rsid w:val="0DD333E4"/>
    <w:rsid w:val="0DDE261C"/>
    <w:rsid w:val="0DDE3F8D"/>
    <w:rsid w:val="0DE63B87"/>
    <w:rsid w:val="0DED35C4"/>
    <w:rsid w:val="0DEE29C8"/>
    <w:rsid w:val="0DEF7298"/>
    <w:rsid w:val="0DF07583"/>
    <w:rsid w:val="0DF23861"/>
    <w:rsid w:val="0DFC0597"/>
    <w:rsid w:val="0E053642"/>
    <w:rsid w:val="0E1A315C"/>
    <w:rsid w:val="0E2E0962"/>
    <w:rsid w:val="0E3E6583"/>
    <w:rsid w:val="0E461C3D"/>
    <w:rsid w:val="0E4D577B"/>
    <w:rsid w:val="0E594409"/>
    <w:rsid w:val="0E5D6A1F"/>
    <w:rsid w:val="0E6350B9"/>
    <w:rsid w:val="0E6565B3"/>
    <w:rsid w:val="0E6F51EA"/>
    <w:rsid w:val="0E7F6047"/>
    <w:rsid w:val="0E8B38B5"/>
    <w:rsid w:val="0E8B6013"/>
    <w:rsid w:val="0E8E4F6E"/>
    <w:rsid w:val="0E986C79"/>
    <w:rsid w:val="0EAA28A2"/>
    <w:rsid w:val="0EB43274"/>
    <w:rsid w:val="0EC23A60"/>
    <w:rsid w:val="0ECB29D5"/>
    <w:rsid w:val="0ED56BE8"/>
    <w:rsid w:val="0EDD6341"/>
    <w:rsid w:val="0EE77C3D"/>
    <w:rsid w:val="0EED7DDE"/>
    <w:rsid w:val="0EEF2F0C"/>
    <w:rsid w:val="0EF22465"/>
    <w:rsid w:val="0EF2476E"/>
    <w:rsid w:val="0EFB6BFF"/>
    <w:rsid w:val="0F010CF1"/>
    <w:rsid w:val="0F144A58"/>
    <w:rsid w:val="0F1F49E3"/>
    <w:rsid w:val="0F2470C4"/>
    <w:rsid w:val="0F2B0FC6"/>
    <w:rsid w:val="0F41006A"/>
    <w:rsid w:val="0F466C23"/>
    <w:rsid w:val="0F47165B"/>
    <w:rsid w:val="0F5320D1"/>
    <w:rsid w:val="0F566E9F"/>
    <w:rsid w:val="0F57119C"/>
    <w:rsid w:val="0F670313"/>
    <w:rsid w:val="0F694384"/>
    <w:rsid w:val="0F7719DD"/>
    <w:rsid w:val="0F7F5F58"/>
    <w:rsid w:val="0F8513E1"/>
    <w:rsid w:val="0F884E81"/>
    <w:rsid w:val="0F92531E"/>
    <w:rsid w:val="0F996E11"/>
    <w:rsid w:val="0FB0280C"/>
    <w:rsid w:val="0FB16B70"/>
    <w:rsid w:val="0FBC205E"/>
    <w:rsid w:val="0FC26E7F"/>
    <w:rsid w:val="0FC36BD9"/>
    <w:rsid w:val="0FD64DBE"/>
    <w:rsid w:val="0FD97C16"/>
    <w:rsid w:val="0FEE1071"/>
    <w:rsid w:val="0FEF1650"/>
    <w:rsid w:val="0FF44C03"/>
    <w:rsid w:val="0FFD041D"/>
    <w:rsid w:val="10054944"/>
    <w:rsid w:val="100A0BFB"/>
    <w:rsid w:val="10181EF0"/>
    <w:rsid w:val="10190050"/>
    <w:rsid w:val="101A3924"/>
    <w:rsid w:val="102378AB"/>
    <w:rsid w:val="1033692A"/>
    <w:rsid w:val="103C3DB2"/>
    <w:rsid w:val="104A5907"/>
    <w:rsid w:val="10517C20"/>
    <w:rsid w:val="10573E39"/>
    <w:rsid w:val="10597C94"/>
    <w:rsid w:val="105B742E"/>
    <w:rsid w:val="10682E35"/>
    <w:rsid w:val="106C5203"/>
    <w:rsid w:val="1093535C"/>
    <w:rsid w:val="10B4537E"/>
    <w:rsid w:val="10C402D3"/>
    <w:rsid w:val="10CF6D15"/>
    <w:rsid w:val="10DA7D7B"/>
    <w:rsid w:val="10F30D9A"/>
    <w:rsid w:val="10FB4DEA"/>
    <w:rsid w:val="10FF3C76"/>
    <w:rsid w:val="11290BB8"/>
    <w:rsid w:val="11300B79"/>
    <w:rsid w:val="11324253"/>
    <w:rsid w:val="11421D97"/>
    <w:rsid w:val="11483064"/>
    <w:rsid w:val="11510611"/>
    <w:rsid w:val="11567405"/>
    <w:rsid w:val="116030B1"/>
    <w:rsid w:val="11662494"/>
    <w:rsid w:val="116B102A"/>
    <w:rsid w:val="117975EF"/>
    <w:rsid w:val="117E7EC7"/>
    <w:rsid w:val="11827E50"/>
    <w:rsid w:val="119021FC"/>
    <w:rsid w:val="11A23D78"/>
    <w:rsid w:val="11AC2FEF"/>
    <w:rsid w:val="11AC79DC"/>
    <w:rsid w:val="11C33708"/>
    <w:rsid w:val="11C60B3B"/>
    <w:rsid w:val="11DA4F05"/>
    <w:rsid w:val="11E27B87"/>
    <w:rsid w:val="11F93A84"/>
    <w:rsid w:val="11FA59CB"/>
    <w:rsid w:val="12036E67"/>
    <w:rsid w:val="12093B42"/>
    <w:rsid w:val="120A4981"/>
    <w:rsid w:val="12293D2C"/>
    <w:rsid w:val="122F7BE0"/>
    <w:rsid w:val="12380420"/>
    <w:rsid w:val="123D6EAA"/>
    <w:rsid w:val="123E1AFF"/>
    <w:rsid w:val="124356A0"/>
    <w:rsid w:val="124C7F7D"/>
    <w:rsid w:val="12500F69"/>
    <w:rsid w:val="12593A9D"/>
    <w:rsid w:val="125943F9"/>
    <w:rsid w:val="125E2044"/>
    <w:rsid w:val="126532B0"/>
    <w:rsid w:val="126D3AE4"/>
    <w:rsid w:val="12786ED9"/>
    <w:rsid w:val="12805699"/>
    <w:rsid w:val="12886B90"/>
    <w:rsid w:val="128C6B64"/>
    <w:rsid w:val="12A943AE"/>
    <w:rsid w:val="12B56CCC"/>
    <w:rsid w:val="12B70937"/>
    <w:rsid w:val="12C95C1F"/>
    <w:rsid w:val="12DD6495"/>
    <w:rsid w:val="130F62D4"/>
    <w:rsid w:val="133D5B27"/>
    <w:rsid w:val="133E6CFF"/>
    <w:rsid w:val="134D771B"/>
    <w:rsid w:val="135323C7"/>
    <w:rsid w:val="135576EC"/>
    <w:rsid w:val="135B647A"/>
    <w:rsid w:val="13772B63"/>
    <w:rsid w:val="137B1A5D"/>
    <w:rsid w:val="13856105"/>
    <w:rsid w:val="138C4CA2"/>
    <w:rsid w:val="13943206"/>
    <w:rsid w:val="13A037EC"/>
    <w:rsid w:val="13AB2111"/>
    <w:rsid w:val="13B45B8B"/>
    <w:rsid w:val="13BC424F"/>
    <w:rsid w:val="13C76618"/>
    <w:rsid w:val="13CE6CD1"/>
    <w:rsid w:val="13D77858"/>
    <w:rsid w:val="13D90258"/>
    <w:rsid w:val="13DE36F9"/>
    <w:rsid w:val="13E23F7B"/>
    <w:rsid w:val="13EF498B"/>
    <w:rsid w:val="13F3639D"/>
    <w:rsid w:val="13F47CF4"/>
    <w:rsid w:val="13FB539C"/>
    <w:rsid w:val="13FD39A5"/>
    <w:rsid w:val="14032A0F"/>
    <w:rsid w:val="140A78DF"/>
    <w:rsid w:val="140C3C75"/>
    <w:rsid w:val="141241A5"/>
    <w:rsid w:val="141F65FC"/>
    <w:rsid w:val="14283307"/>
    <w:rsid w:val="143219F3"/>
    <w:rsid w:val="143D60D7"/>
    <w:rsid w:val="144D1D9E"/>
    <w:rsid w:val="1459033A"/>
    <w:rsid w:val="145C25F2"/>
    <w:rsid w:val="14622967"/>
    <w:rsid w:val="14780D4E"/>
    <w:rsid w:val="14820006"/>
    <w:rsid w:val="148C2140"/>
    <w:rsid w:val="149F2FE6"/>
    <w:rsid w:val="14A83228"/>
    <w:rsid w:val="14B67C80"/>
    <w:rsid w:val="14C82AF5"/>
    <w:rsid w:val="14D579B8"/>
    <w:rsid w:val="14D72668"/>
    <w:rsid w:val="14D81C4A"/>
    <w:rsid w:val="14DC23C4"/>
    <w:rsid w:val="14DD25E0"/>
    <w:rsid w:val="14F21837"/>
    <w:rsid w:val="14F627D2"/>
    <w:rsid w:val="15082C5C"/>
    <w:rsid w:val="150D7F23"/>
    <w:rsid w:val="150E4F71"/>
    <w:rsid w:val="15140C18"/>
    <w:rsid w:val="151445C6"/>
    <w:rsid w:val="15192924"/>
    <w:rsid w:val="15251E4F"/>
    <w:rsid w:val="15306C91"/>
    <w:rsid w:val="15654475"/>
    <w:rsid w:val="156E3248"/>
    <w:rsid w:val="15715B9D"/>
    <w:rsid w:val="15A92CA9"/>
    <w:rsid w:val="15AB7D73"/>
    <w:rsid w:val="15BB0BE3"/>
    <w:rsid w:val="15C00219"/>
    <w:rsid w:val="15C71AFE"/>
    <w:rsid w:val="15C739C7"/>
    <w:rsid w:val="15D177DD"/>
    <w:rsid w:val="15D81128"/>
    <w:rsid w:val="15E050D6"/>
    <w:rsid w:val="15E816C3"/>
    <w:rsid w:val="15EE3C93"/>
    <w:rsid w:val="160832C1"/>
    <w:rsid w:val="161127A0"/>
    <w:rsid w:val="161517A4"/>
    <w:rsid w:val="161967DE"/>
    <w:rsid w:val="161A3725"/>
    <w:rsid w:val="161D394D"/>
    <w:rsid w:val="161E7965"/>
    <w:rsid w:val="161F0A67"/>
    <w:rsid w:val="16231DA8"/>
    <w:rsid w:val="16296C31"/>
    <w:rsid w:val="16344D9F"/>
    <w:rsid w:val="163D6F89"/>
    <w:rsid w:val="16451BBD"/>
    <w:rsid w:val="1646746C"/>
    <w:rsid w:val="16481B16"/>
    <w:rsid w:val="16487DBE"/>
    <w:rsid w:val="16524966"/>
    <w:rsid w:val="16605D7D"/>
    <w:rsid w:val="166246AC"/>
    <w:rsid w:val="16715732"/>
    <w:rsid w:val="167E0296"/>
    <w:rsid w:val="168C59EC"/>
    <w:rsid w:val="168C6144"/>
    <w:rsid w:val="16962725"/>
    <w:rsid w:val="16A152B1"/>
    <w:rsid w:val="16B31112"/>
    <w:rsid w:val="16BF439C"/>
    <w:rsid w:val="16C01BC9"/>
    <w:rsid w:val="16C800B4"/>
    <w:rsid w:val="16D06610"/>
    <w:rsid w:val="16D33975"/>
    <w:rsid w:val="16DC1CDD"/>
    <w:rsid w:val="16DC4898"/>
    <w:rsid w:val="16FE32CF"/>
    <w:rsid w:val="170B1AE9"/>
    <w:rsid w:val="17151A6B"/>
    <w:rsid w:val="17170374"/>
    <w:rsid w:val="171C11F9"/>
    <w:rsid w:val="171D2986"/>
    <w:rsid w:val="17206282"/>
    <w:rsid w:val="172C56C3"/>
    <w:rsid w:val="17326FA8"/>
    <w:rsid w:val="17356400"/>
    <w:rsid w:val="174212FF"/>
    <w:rsid w:val="174C2739"/>
    <w:rsid w:val="175C461A"/>
    <w:rsid w:val="17632B88"/>
    <w:rsid w:val="17661906"/>
    <w:rsid w:val="1768618A"/>
    <w:rsid w:val="177A17FA"/>
    <w:rsid w:val="178B20D4"/>
    <w:rsid w:val="179A0C2B"/>
    <w:rsid w:val="179A3A33"/>
    <w:rsid w:val="17A15D92"/>
    <w:rsid w:val="17AE712C"/>
    <w:rsid w:val="17B37126"/>
    <w:rsid w:val="17C80497"/>
    <w:rsid w:val="17CA0A70"/>
    <w:rsid w:val="17CA5839"/>
    <w:rsid w:val="17CB77C7"/>
    <w:rsid w:val="17D0118B"/>
    <w:rsid w:val="17ED02ED"/>
    <w:rsid w:val="17F02ADF"/>
    <w:rsid w:val="180D6CD5"/>
    <w:rsid w:val="181655B3"/>
    <w:rsid w:val="18275FEE"/>
    <w:rsid w:val="183B1759"/>
    <w:rsid w:val="183F59A3"/>
    <w:rsid w:val="185C3CC9"/>
    <w:rsid w:val="18633CFC"/>
    <w:rsid w:val="1864661C"/>
    <w:rsid w:val="18705EA4"/>
    <w:rsid w:val="18714C1A"/>
    <w:rsid w:val="18742B41"/>
    <w:rsid w:val="18776D3F"/>
    <w:rsid w:val="18943DF8"/>
    <w:rsid w:val="18A00726"/>
    <w:rsid w:val="18A66150"/>
    <w:rsid w:val="18B01B4F"/>
    <w:rsid w:val="18B5619F"/>
    <w:rsid w:val="18BE2FA1"/>
    <w:rsid w:val="18C037CD"/>
    <w:rsid w:val="18C212E8"/>
    <w:rsid w:val="18CD1A4B"/>
    <w:rsid w:val="18D05567"/>
    <w:rsid w:val="18DA5AC7"/>
    <w:rsid w:val="18F70B8B"/>
    <w:rsid w:val="190E2312"/>
    <w:rsid w:val="19232DE7"/>
    <w:rsid w:val="19257D78"/>
    <w:rsid w:val="192A79BE"/>
    <w:rsid w:val="192B3BD6"/>
    <w:rsid w:val="19306098"/>
    <w:rsid w:val="19383B86"/>
    <w:rsid w:val="19497901"/>
    <w:rsid w:val="19677470"/>
    <w:rsid w:val="196C47D3"/>
    <w:rsid w:val="19704316"/>
    <w:rsid w:val="19704A87"/>
    <w:rsid w:val="19720369"/>
    <w:rsid w:val="19797166"/>
    <w:rsid w:val="19806AD4"/>
    <w:rsid w:val="198151B0"/>
    <w:rsid w:val="19835BF4"/>
    <w:rsid w:val="19884B6E"/>
    <w:rsid w:val="198C5081"/>
    <w:rsid w:val="198D0BFF"/>
    <w:rsid w:val="19923C81"/>
    <w:rsid w:val="19972182"/>
    <w:rsid w:val="199A2518"/>
    <w:rsid w:val="19A05790"/>
    <w:rsid w:val="19A365F5"/>
    <w:rsid w:val="19A63976"/>
    <w:rsid w:val="19AB6BFD"/>
    <w:rsid w:val="19AF6CED"/>
    <w:rsid w:val="19B179A5"/>
    <w:rsid w:val="19E843FF"/>
    <w:rsid w:val="19F51A5C"/>
    <w:rsid w:val="19FD7E15"/>
    <w:rsid w:val="19FF1A8F"/>
    <w:rsid w:val="1A000270"/>
    <w:rsid w:val="1A08767C"/>
    <w:rsid w:val="1A0C6B12"/>
    <w:rsid w:val="1A0F1358"/>
    <w:rsid w:val="1A1A3F47"/>
    <w:rsid w:val="1A1A515B"/>
    <w:rsid w:val="1A1C2CBA"/>
    <w:rsid w:val="1A200486"/>
    <w:rsid w:val="1A3D1456"/>
    <w:rsid w:val="1A4642EE"/>
    <w:rsid w:val="1A4F35F8"/>
    <w:rsid w:val="1A556A2D"/>
    <w:rsid w:val="1A5F593A"/>
    <w:rsid w:val="1A6A1270"/>
    <w:rsid w:val="1A7502F2"/>
    <w:rsid w:val="1A793286"/>
    <w:rsid w:val="1A7A7BF5"/>
    <w:rsid w:val="1A7D72F2"/>
    <w:rsid w:val="1A886EEE"/>
    <w:rsid w:val="1AA65BDB"/>
    <w:rsid w:val="1AAA7DE7"/>
    <w:rsid w:val="1AAD45F0"/>
    <w:rsid w:val="1AB10504"/>
    <w:rsid w:val="1AB1426F"/>
    <w:rsid w:val="1AB6349F"/>
    <w:rsid w:val="1ABA36CA"/>
    <w:rsid w:val="1AC06616"/>
    <w:rsid w:val="1AD2283C"/>
    <w:rsid w:val="1AE171D0"/>
    <w:rsid w:val="1AE336E2"/>
    <w:rsid w:val="1AFD4C97"/>
    <w:rsid w:val="1B0359A1"/>
    <w:rsid w:val="1B0E08AD"/>
    <w:rsid w:val="1B100739"/>
    <w:rsid w:val="1B251213"/>
    <w:rsid w:val="1B290591"/>
    <w:rsid w:val="1B31339A"/>
    <w:rsid w:val="1B393E03"/>
    <w:rsid w:val="1B3D4445"/>
    <w:rsid w:val="1B3E1BCE"/>
    <w:rsid w:val="1B425BCC"/>
    <w:rsid w:val="1B620693"/>
    <w:rsid w:val="1B676ABA"/>
    <w:rsid w:val="1B6E74EE"/>
    <w:rsid w:val="1B795013"/>
    <w:rsid w:val="1B8A4A14"/>
    <w:rsid w:val="1BA3464C"/>
    <w:rsid w:val="1BAC237C"/>
    <w:rsid w:val="1BC20786"/>
    <w:rsid w:val="1BC9140D"/>
    <w:rsid w:val="1BC95CE1"/>
    <w:rsid w:val="1BCE2561"/>
    <w:rsid w:val="1BD4077E"/>
    <w:rsid w:val="1BDD203C"/>
    <w:rsid w:val="1BE15078"/>
    <w:rsid w:val="1BE80A59"/>
    <w:rsid w:val="1BED52B1"/>
    <w:rsid w:val="1BF152EF"/>
    <w:rsid w:val="1BF84C15"/>
    <w:rsid w:val="1BFB4BA2"/>
    <w:rsid w:val="1BFC73A5"/>
    <w:rsid w:val="1C042DB4"/>
    <w:rsid w:val="1C0E734B"/>
    <w:rsid w:val="1C1370C6"/>
    <w:rsid w:val="1C15765C"/>
    <w:rsid w:val="1C180760"/>
    <w:rsid w:val="1C197ED0"/>
    <w:rsid w:val="1C2D042F"/>
    <w:rsid w:val="1C2F0A0A"/>
    <w:rsid w:val="1C3025BF"/>
    <w:rsid w:val="1C3A27EF"/>
    <w:rsid w:val="1C3E3ED1"/>
    <w:rsid w:val="1C465A4A"/>
    <w:rsid w:val="1C4D0DA9"/>
    <w:rsid w:val="1C793B2D"/>
    <w:rsid w:val="1C871D06"/>
    <w:rsid w:val="1C8A0FCC"/>
    <w:rsid w:val="1CAD2ABD"/>
    <w:rsid w:val="1CB80CEC"/>
    <w:rsid w:val="1CD06E13"/>
    <w:rsid w:val="1CD25699"/>
    <w:rsid w:val="1CE530C5"/>
    <w:rsid w:val="1CEA7A5E"/>
    <w:rsid w:val="1D0E6F38"/>
    <w:rsid w:val="1D0E7DBB"/>
    <w:rsid w:val="1D282117"/>
    <w:rsid w:val="1D2825CB"/>
    <w:rsid w:val="1D323314"/>
    <w:rsid w:val="1D390D1A"/>
    <w:rsid w:val="1D394CA5"/>
    <w:rsid w:val="1D395AE2"/>
    <w:rsid w:val="1D3B2E92"/>
    <w:rsid w:val="1D590065"/>
    <w:rsid w:val="1D5B6B68"/>
    <w:rsid w:val="1D657F45"/>
    <w:rsid w:val="1D6D0BFE"/>
    <w:rsid w:val="1D6F1354"/>
    <w:rsid w:val="1DA01272"/>
    <w:rsid w:val="1DB11915"/>
    <w:rsid w:val="1DC037DD"/>
    <w:rsid w:val="1DC07676"/>
    <w:rsid w:val="1DC57D87"/>
    <w:rsid w:val="1DCA5354"/>
    <w:rsid w:val="1DCE1869"/>
    <w:rsid w:val="1DD4755F"/>
    <w:rsid w:val="1DDD3057"/>
    <w:rsid w:val="1DDF13FE"/>
    <w:rsid w:val="1DF64570"/>
    <w:rsid w:val="1DFD3F12"/>
    <w:rsid w:val="1E0569A2"/>
    <w:rsid w:val="1E0B000D"/>
    <w:rsid w:val="1E3913B0"/>
    <w:rsid w:val="1E4105A1"/>
    <w:rsid w:val="1E4E21CF"/>
    <w:rsid w:val="1E5105E7"/>
    <w:rsid w:val="1E6A67A2"/>
    <w:rsid w:val="1E700A52"/>
    <w:rsid w:val="1E7B0DD8"/>
    <w:rsid w:val="1E8A35B7"/>
    <w:rsid w:val="1E8E6B02"/>
    <w:rsid w:val="1EB9582C"/>
    <w:rsid w:val="1EC32570"/>
    <w:rsid w:val="1ED03A58"/>
    <w:rsid w:val="1ED71D92"/>
    <w:rsid w:val="1EE12AD0"/>
    <w:rsid w:val="1EE24C30"/>
    <w:rsid w:val="1EE85053"/>
    <w:rsid w:val="1EF13E6F"/>
    <w:rsid w:val="1EF77EF6"/>
    <w:rsid w:val="1EFC375E"/>
    <w:rsid w:val="1EFD397E"/>
    <w:rsid w:val="1F017B2A"/>
    <w:rsid w:val="1F067698"/>
    <w:rsid w:val="1F0B70FC"/>
    <w:rsid w:val="1F130DA0"/>
    <w:rsid w:val="1F324F2F"/>
    <w:rsid w:val="1F350DB1"/>
    <w:rsid w:val="1F3A2EC4"/>
    <w:rsid w:val="1F467DAB"/>
    <w:rsid w:val="1F4B4471"/>
    <w:rsid w:val="1F4F75B9"/>
    <w:rsid w:val="1F5A120E"/>
    <w:rsid w:val="1F5C5B80"/>
    <w:rsid w:val="1F7041A6"/>
    <w:rsid w:val="1F736D2F"/>
    <w:rsid w:val="1F831727"/>
    <w:rsid w:val="1F936C76"/>
    <w:rsid w:val="1FAA38E8"/>
    <w:rsid w:val="1FAA3CA5"/>
    <w:rsid w:val="1FB032B7"/>
    <w:rsid w:val="1FD65DA2"/>
    <w:rsid w:val="1FDF0320"/>
    <w:rsid w:val="1FE33599"/>
    <w:rsid w:val="1FE36BC6"/>
    <w:rsid w:val="1FED1A1D"/>
    <w:rsid w:val="1FFE6601"/>
    <w:rsid w:val="20126FBB"/>
    <w:rsid w:val="2015768A"/>
    <w:rsid w:val="201913F4"/>
    <w:rsid w:val="201D662C"/>
    <w:rsid w:val="20212F49"/>
    <w:rsid w:val="202F2ED5"/>
    <w:rsid w:val="20491E0D"/>
    <w:rsid w:val="204A38F3"/>
    <w:rsid w:val="20542F94"/>
    <w:rsid w:val="20597ED5"/>
    <w:rsid w:val="205D6141"/>
    <w:rsid w:val="206F1768"/>
    <w:rsid w:val="2078080E"/>
    <w:rsid w:val="209E58F8"/>
    <w:rsid w:val="20A04B92"/>
    <w:rsid w:val="20A371C7"/>
    <w:rsid w:val="20AB68A1"/>
    <w:rsid w:val="20AD4576"/>
    <w:rsid w:val="20AE6104"/>
    <w:rsid w:val="20B96D06"/>
    <w:rsid w:val="20B97A85"/>
    <w:rsid w:val="20D55A90"/>
    <w:rsid w:val="20DD622E"/>
    <w:rsid w:val="2110411C"/>
    <w:rsid w:val="211229FE"/>
    <w:rsid w:val="211421F2"/>
    <w:rsid w:val="211E2ED4"/>
    <w:rsid w:val="21241C6D"/>
    <w:rsid w:val="21254E1A"/>
    <w:rsid w:val="21290B98"/>
    <w:rsid w:val="21431B5C"/>
    <w:rsid w:val="21525847"/>
    <w:rsid w:val="217D01AB"/>
    <w:rsid w:val="217F2E9D"/>
    <w:rsid w:val="219C3A77"/>
    <w:rsid w:val="21A7275E"/>
    <w:rsid w:val="21B45B3E"/>
    <w:rsid w:val="21B56E09"/>
    <w:rsid w:val="21BB7784"/>
    <w:rsid w:val="21CE2D6F"/>
    <w:rsid w:val="21D45167"/>
    <w:rsid w:val="21D7123E"/>
    <w:rsid w:val="21DE7BCF"/>
    <w:rsid w:val="21E94E42"/>
    <w:rsid w:val="21F71C59"/>
    <w:rsid w:val="22007DB3"/>
    <w:rsid w:val="22033FD0"/>
    <w:rsid w:val="22165EB8"/>
    <w:rsid w:val="2257450E"/>
    <w:rsid w:val="22617B4E"/>
    <w:rsid w:val="22654377"/>
    <w:rsid w:val="227273A2"/>
    <w:rsid w:val="22763C21"/>
    <w:rsid w:val="229A2086"/>
    <w:rsid w:val="229D14E8"/>
    <w:rsid w:val="22A20A6F"/>
    <w:rsid w:val="22A566D7"/>
    <w:rsid w:val="22E755A9"/>
    <w:rsid w:val="22F446E0"/>
    <w:rsid w:val="22FB441B"/>
    <w:rsid w:val="23094864"/>
    <w:rsid w:val="23161000"/>
    <w:rsid w:val="231A1796"/>
    <w:rsid w:val="231D640E"/>
    <w:rsid w:val="233A2EA6"/>
    <w:rsid w:val="233B32CA"/>
    <w:rsid w:val="233B510B"/>
    <w:rsid w:val="236D4AF6"/>
    <w:rsid w:val="237C22E6"/>
    <w:rsid w:val="238625E7"/>
    <w:rsid w:val="239235E6"/>
    <w:rsid w:val="23966706"/>
    <w:rsid w:val="23A759BB"/>
    <w:rsid w:val="23AD3E71"/>
    <w:rsid w:val="23BB445F"/>
    <w:rsid w:val="23CE1E23"/>
    <w:rsid w:val="23CE2665"/>
    <w:rsid w:val="23D13E32"/>
    <w:rsid w:val="23EB01D7"/>
    <w:rsid w:val="23EB7288"/>
    <w:rsid w:val="23F20167"/>
    <w:rsid w:val="23F227FA"/>
    <w:rsid w:val="23F42E88"/>
    <w:rsid w:val="23F44442"/>
    <w:rsid w:val="23FB0969"/>
    <w:rsid w:val="241D059E"/>
    <w:rsid w:val="24473E82"/>
    <w:rsid w:val="245E5528"/>
    <w:rsid w:val="246E0AAE"/>
    <w:rsid w:val="248A712A"/>
    <w:rsid w:val="24900099"/>
    <w:rsid w:val="249E5BAB"/>
    <w:rsid w:val="24BC36A9"/>
    <w:rsid w:val="24BE303A"/>
    <w:rsid w:val="24C67C3E"/>
    <w:rsid w:val="24CF61A7"/>
    <w:rsid w:val="24E72B49"/>
    <w:rsid w:val="24F77757"/>
    <w:rsid w:val="25192E1C"/>
    <w:rsid w:val="251C397E"/>
    <w:rsid w:val="252408C5"/>
    <w:rsid w:val="25366D56"/>
    <w:rsid w:val="25392FFA"/>
    <w:rsid w:val="2539605D"/>
    <w:rsid w:val="25442BCC"/>
    <w:rsid w:val="25624691"/>
    <w:rsid w:val="257F1F18"/>
    <w:rsid w:val="25823181"/>
    <w:rsid w:val="258469C2"/>
    <w:rsid w:val="259454C4"/>
    <w:rsid w:val="25992ED2"/>
    <w:rsid w:val="25BD142C"/>
    <w:rsid w:val="25BF17F8"/>
    <w:rsid w:val="25C359A2"/>
    <w:rsid w:val="25C7781F"/>
    <w:rsid w:val="25D65927"/>
    <w:rsid w:val="26060487"/>
    <w:rsid w:val="260D721C"/>
    <w:rsid w:val="261809BB"/>
    <w:rsid w:val="261A69FA"/>
    <w:rsid w:val="26387810"/>
    <w:rsid w:val="263A2C12"/>
    <w:rsid w:val="2641272F"/>
    <w:rsid w:val="26541AED"/>
    <w:rsid w:val="265A3C20"/>
    <w:rsid w:val="267046B9"/>
    <w:rsid w:val="267D3759"/>
    <w:rsid w:val="26B620C2"/>
    <w:rsid w:val="26B75253"/>
    <w:rsid w:val="26B90781"/>
    <w:rsid w:val="26C44C08"/>
    <w:rsid w:val="26CB0B8B"/>
    <w:rsid w:val="26D72033"/>
    <w:rsid w:val="26FC0997"/>
    <w:rsid w:val="2703403A"/>
    <w:rsid w:val="270B718F"/>
    <w:rsid w:val="271F404A"/>
    <w:rsid w:val="272628C8"/>
    <w:rsid w:val="273A309D"/>
    <w:rsid w:val="274A315C"/>
    <w:rsid w:val="27507E1E"/>
    <w:rsid w:val="276F463D"/>
    <w:rsid w:val="278E60E0"/>
    <w:rsid w:val="279F6440"/>
    <w:rsid w:val="27CA12AC"/>
    <w:rsid w:val="27CD4BB9"/>
    <w:rsid w:val="27CD7EED"/>
    <w:rsid w:val="27CF01C0"/>
    <w:rsid w:val="27D54A43"/>
    <w:rsid w:val="27D65046"/>
    <w:rsid w:val="27D90685"/>
    <w:rsid w:val="27DD20F5"/>
    <w:rsid w:val="27DE6585"/>
    <w:rsid w:val="27E91B37"/>
    <w:rsid w:val="27FE216A"/>
    <w:rsid w:val="280B7CD3"/>
    <w:rsid w:val="28104A4A"/>
    <w:rsid w:val="2822244C"/>
    <w:rsid w:val="28282383"/>
    <w:rsid w:val="28377FBC"/>
    <w:rsid w:val="283C52CD"/>
    <w:rsid w:val="285D12F7"/>
    <w:rsid w:val="285D5580"/>
    <w:rsid w:val="286F419D"/>
    <w:rsid w:val="28764E83"/>
    <w:rsid w:val="287A2C70"/>
    <w:rsid w:val="288A0D66"/>
    <w:rsid w:val="28933BD6"/>
    <w:rsid w:val="28941B91"/>
    <w:rsid w:val="289D4F65"/>
    <w:rsid w:val="28AA238E"/>
    <w:rsid w:val="28B91D46"/>
    <w:rsid w:val="28BF25D1"/>
    <w:rsid w:val="28CC34D3"/>
    <w:rsid w:val="28CF6BB1"/>
    <w:rsid w:val="28D9183D"/>
    <w:rsid w:val="28DA2D5D"/>
    <w:rsid w:val="28E5571D"/>
    <w:rsid w:val="28EE73D5"/>
    <w:rsid w:val="28EE7800"/>
    <w:rsid w:val="28F20367"/>
    <w:rsid w:val="28F407F5"/>
    <w:rsid w:val="2907442D"/>
    <w:rsid w:val="292C4809"/>
    <w:rsid w:val="29321D76"/>
    <w:rsid w:val="29390E6A"/>
    <w:rsid w:val="29545E08"/>
    <w:rsid w:val="295546E1"/>
    <w:rsid w:val="2957035F"/>
    <w:rsid w:val="2959727B"/>
    <w:rsid w:val="29601FAE"/>
    <w:rsid w:val="297210A6"/>
    <w:rsid w:val="298D43D4"/>
    <w:rsid w:val="299B45D4"/>
    <w:rsid w:val="29A07B45"/>
    <w:rsid w:val="29A67787"/>
    <w:rsid w:val="29AD4C81"/>
    <w:rsid w:val="29B77D32"/>
    <w:rsid w:val="29C4432B"/>
    <w:rsid w:val="29F17DA0"/>
    <w:rsid w:val="2A0407BC"/>
    <w:rsid w:val="2A0E56B0"/>
    <w:rsid w:val="2A1141C2"/>
    <w:rsid w:val="2A132423"/>
    <w:rsid w:val="2A2659B7"/>
    <w:rsid w:val="2A2C0200"/>
    <w:rsid w:val="2A3535CB"/>
    <w:rsid w:val="2A357CAB"/>
    <w:rsid w:val="2A562172"/>
    <w:rsid w:val="2A6B28D3"/>
    <w:rsid w:val="2A734AD8"/>
    <w:rsid w:val="2A8A65C5"/>
    <w:rsid w:val="2AA72BF3"/>
    <w:rsid w:val="2AC267FF"/>
    <w:rsid w:val="2AC972B7"/>
    <w:rsid w:val="2AD76372"/>
    <w:rsid w:val="2AE779B3"/>
    <w:rsid w:val="2B062687"/>
    <w:rsid w:val="2B1213A5"/>
    <w:rsid w:val="2B177634"/>
    <w:rsid w:val="2B211F25"/>
    <w:rsid w:val="2B2E7CC9"/>
    <w:rsid w:val="2B4A46D1"/>
    <w:rsid w:val="2B4A6616"/>
    <w:rsid w:val="2B4D3DB5"/>
    <w:rsid w:val="2B580C68"/>
    <w:rsid w:val="2B5875D2"/>
    <w:rsid w:val="2B5D67A3"/>
    <w:rsid w:val="2B610929"/>
    <w:rsid w:val="2B90624C"/>
    <w:rsid w:val="2BA87F75"/>
    <w:rsid w:val="2BAA3D82"/>
    <w:rsid w:val="2BAD7196"/>
    <w:rsid w:val="2BB30DDF"/>
    <w:rsid w:val="2BB3454D"/>
    <w:rsid w:val="2BB85FB4"/>
    <w:rsid w:val="2BBF0584"/>
    <w:rsid w:val="2BC074FF"/>
    <w:rsid w:val="2BC416BC"/>
    <w:rsid w:val="2BC4407D"/>
    <w:rsid w:val="2BC707FE"/>
    <w:rsid w:val="2BC9704B"/>
    <w:rsid w:val="2BD21999"/>
    <w:rsid w:val="2BDC6F31"/>
    <w:rsid w:val="2BE27EAA"/>
    <w:rsid w:val="2BED7B9D"/>
    <w:rsid w:val="2BF352E8"/>
    <w:rsid w:val="2BF61D4D"/>
    <w:rsid w:val="2C0E0511"/>
    <w:rsid w:val="2C2A25DC"/>
    <w:rsid w:val="2C335DFD"/>
    <w:rsid w:val="2C3E348D"/>
    <w:rsid w:val="2C5328DC"/>
    <w:rsid w:val="2C587509"/>
    <w:rsid w:val="2C591440"/>
    <w:rsid w:val="2C5B1B55"/>
    <w:rsid w:val="2C5D403D"/>
    <w:rsid w:val="2C5F74CE"/>
    <w:rsid w:val="2C624110"/>
    <w:rsid w:val="2C6E1CEE"/>
    <w:rsid w:val="2C7E03EF"/>
    <w:rsid w:val="2C85641E"/>
    <w:rsid w:val="2C8C0DBB"/>
    <w:rsid w:val="2C9C068E"/>
    <w:rsid w:val="2C9C66BF"/>
    <w:rsid w:val="2C9F1D6C"/>
    <w:rsid w:val="2CA1774E"/>
    <w:rsid w:val="2CA721DA"/>
    <w:rsid w:val="2CA80FE4"/>
    <w:rsid w:val="2CA86650"/>
    <w:rsid w:val="2CAF544A"/>
    <w:rsid w:val="2CB03690"/>
    <w:rsid w:val="2CB07745"/>
    <w:rsid w:val="2CB7431C"/>
    <w:rsid w:val="2CBB202B"/>
    <w:rsid w:val="2CC01A60"/>
    <w:rsid w:val="2CCD1691"/>
    <w:rsid w:val="2CD04C12"/>
    <w:rsid w:val="2CDF048A"/>
    <w:rsid w:val="2CE71F16"/>
    <w:rsid w:val="2CEA00E6"/>
    <w:rsid w:val="2D057438"/>
    <w:rsid w:val="2D1478B0"/>
    <w:rsid w:val="2D167E42"/>
    <w:rsid w:val="2D262B8A"/>
    <w:rsid w:val="2D3733C6"/>
    <w:rsid w:val="2D3A184D"/>
    <w:rsid w:val="2D497C60"/>
    <w:rsid w:val="2D4F0B21"/>
    <w:rsid w:val="2D650E2F"/>
    <w:rsid w:val="2D684A12"/>
    <w:rsid w:val="2D852B16"/>
    <w:rsid w:val="2D8F5CA4"/>
    <w:rsid w:val="2D90076B"/>
    <w:rsid w:val="2D912ABB"/>
    <w:rsid w:val="2DB473F1"/>
    <w:rsid w:val="2DB50BB8"/>
    <w:rsid w:val="2DC05177"/>
    <w:rsid w:val="2DC42696"/>
    <w:rsid w:val="2DC94D41"/>
    <w:rsid w:val="2DCF034E"/>
    <w:rsid w:val="2DCF4CCE"/>
    <w:rsid w:val="2DD41214"/>
    <w:rsid w:val="2DD603B8"/>
    <w:rsid w:val="2DDA7E8F"/>
    <w:rsid w:val="2DDB161C"/>
    <w:rsid w:val="2DDC000A"/>
    <w:rsid w:val="2DE411A8"/>
    <w:rsid w:val="2DF1136F"/>
    <w:rsid w:val="2DFD3BDB"/>
    <w:rsid w:val="2E030633"/>
    <w:rsid w:val="2E067A7C"/>
    <w:rsid w:val="2E10574E"/>
    <w:rsid w:val="2E107CAB"/>
    <w:rsid w:val="2E140CD8"/>
    <w:rsid w:val="2E3D2A8B"/>
    <w:rsid w:val="2E42325A"/>
    <w:rsid w:val="2E451598"/>
    <w:rsid w:val="2E50247B"/>
    <w:rsid w:val="2E5327D5"/>
    <w:rsid w:val="2E5B6EDD"/>
    <w:rsid w:val="2E5D1C1A"/>
    <w:rsid w:val="2E7C6A05"/>
    <w:rsid w:val="2E94091A"/>
    <w:rsid w:val="2E976AF1"/>
    <w:rsid w:val="2E986214"/>
    <w:rsid w:val="2EB0144A"/>
    <w:rsid w:val="2EB64D02"/>
    <w:rsid w:val="2EB66382"/>
    <w:rsid w:val="2EBE2DEE"/>
    <w:rsid w:val="2EDD7662"/>
    <w:rsid w:val="2EE277EB"/>
    <w:rsid w:val="2EED132F"/>
    <w:rsid w:val="2EF37784"/>
    <w:rsid w:val="2EF37A6C"/>
    <w:rsid w:val="2EF679EA"/>
    <w:rsid w:val="2EFC1929"/>
    <w:rsid w:val="2F0B25EA"/>
    <w:rsid w:val="2F105207"/>
    <w:rsid w:val="2F1C732B"/>
    <w:rsid w:val="2F2D2C8C"/>
    <w:rsid w:val="2F304111"/>
    <w:rsid w:val="2F34035C"/>
    <w:rsid w:val="2F404328"/>
    <w:rsid w:val="2F4263E6"/>
    <w:rsid w:val="2F436E29"/>
    <w:rsid w:val="2F476CCF"/>
    <w:rsid w:val="2F4D2289"/>
    <w:rsid w:val="2F5E4A08"/>
    <w:rsid w:val="2F74090B"/>
    <w:rsid w:val="2F7E5785"/>
    <w:rsid w:val="2F803D56"/>
    <w:rsid w:val="2F84303A"/>
    <w:rsid w:val="2F896718"/>
    <w:rsid w:val="2FAE5DEC"/>
    <w:rsid w:val="2FB15513"/>
    <w:rsid w:val="2FBF5946"/>
    <w:rsid w:val="2FC3194C"/>
    <w:rsid w:val="2FC87756"/>
    <w:rsid w:val="2FD427F5"/>
    <w:rsid w:val="2FE318A7"/>
    <w:rsid w:val="2FE939B7"/>
    <w:rsid w:val="2FFD1AA5"/>
    <w:rsid w:val="300D47F8"/>
    <w:rsid w:val="30150D31"/>
    <w:rsid w:val="302002CD"/>
    <w:rsid w:val="30342640"/>
    <w:rsid w:val="30367439"/>
    <w:rsid w:val="303F084C"/>
    <w:rsid w:val="3043272B"/>
    <w:rsid w:val="304A3D5A"/>
    <w:rsid w:val="304D18A6"/>
    <w:rsid w:val="304F097F"/>
    <w:rsid w:val="30617139"/>
    <w:rsid w:val="307A667F"/>
    <w:rsid w:val="307C067D"/>
    <w:rsid w:val="30840950"/>
    <w:rsid w:val="30987D36"/>
    <w:rsid w:val="3099069A"/>
    <w:rsid w:val="309F34D0"/>
    <w:rsid w:val="30AA1210"/>
    <w:rsid w:val="30AD4653"/>
    <w:rsid w:val="30AD7348"/>
    <w:rsid w:val="30C13BE5"/>
    <w:rsid w:val="30C45C3A"/>
    <w:rsid w:val="30E17AB7"/>
    <w:rsid w:val="30ED05EA"/>
    <w:rsid w:val="30ED4F7C"/>
    <w:rsid w:val="30EE1494"/>
    <w:rsid w:val="310E0E91"/>
    <w:rsid w:val="311D64EE"/>
    <w:rsid w:val="313442A1"/>
    <w:rsid w:val="313F5902"/>
    <w:rsid w:val="31410504"/>
    <w:rsid w:val="31415DC7"/>
    <w:rsid w:val="315365FE"/>
    <w:rsid w:val="31573F02"/>
    <w:rsid w:val="315B611C"/>
    <w:rsid w:val="315F1FAB"/>
    <w:rsid w:val="3160369F"/>
    <w:rsid w:val="31761DE2"/>
    <w:rsid w:val="3179785A"/>
    <w:rsid w:val="31863A24"/>
    <w:rsid w:val="318D3990"/>
    <w:rsid w:val="319D30F5"/>
    <w:rsid w:val="31B26694"/>
    <w:rsid w:val="31BD6890"/>
    <w:rsid w:val="31BE5CB4"/>
    <w:rsid w:val="31C263DC"/>
    <w:rsid w:val="31C848E8"/>
    <w:rsid w:val="31D443C1"/>
    <w:rsid w:val="31E14047"/>
    <w:rsid w:val="31E65D8B"/>
    <w:rsid w:val="31F97AB2"/>
    <w:rsid w:val="31FC487A"/>
    <w:rsid w:val="31FE0E25"/>
    <w:rsid w:val="32006B61"/>
    <w:rsid w:val="32133B5B"/>
    <w:rsid w:val="32204952"/>
    <w:rsid w:val="32315685"/>
    <w:rsid w:val="32465184"/>
    <w:rsid w:val="32510297"/>
    <w:rsid w:val="326C015C"/>
    <w:rsid w:val="32704590"/>
    <w:rsid w:val="32796C59"/>
    <w:rsid w:val="328457F9"/>
    <w:rsid w:val="32953660"/>
    <w:rsid w:val="329F3821"/>
    <w:rsid w:val="32A769EE"/>
    <w:rsid w:val="32A828B0"/>
    <w:rsid w:val="32B91292"/>
    <w:rsid w:val="32D726F0"/>
    <w:rsid w:val="32E12403"/>
    <w:rsid w:val="32E92F69"/>
    <w:rsid w:val="32E94E6A"/>
    <w:rsid w:val="32EE5B49"/>
    <w:rsid w:val="32F12BA7"/>
    <w:rsid w:val="33025A59"/>
    <w:rsid w:val="33063B89"/>
    <w:rsid w:val="33197BF7"/>
    <w:rsid w:val="33206D2A"/>
    <w:rsid w:val="332C03B2"/>
    <w:rsid w:val="3331269A"/>
    <w:rsid w:val="33402C46"/>
    <w:rsid w:val="33487493"/>
    <w:rsid w:val="33541A6C"/>
    <w:rsid w:val="33590C7F"/>
    <w:rsid w:val="33626732"/>
    <w:rsid w:val="33661719"/>
    <w:rsid w:val="33842B59"/>
    <w:rsid w:val="338653EB"/>
    <w:rsid w:val="338B4D61"/>
    <w:rsid w:val="33D54DD4"/>
    <w:rsid w:val="33D66BC8"/>
    <w:rsid w:val="33E459A1"/>
    <w:rsid w:val="33EC7413"/>
    <w:rsid w:val="34236C5B"/>
    <w:rsid w:val="3429221D"/>
    <w:rsid w:val="343F202A"/>
    <w:rsid w:val="34484576"/>
    <w:rsid w:val="3473733B"/>
    <w:rsid w:val="34757CDE"/>
    <w:rsid w:val="347913B4"/>
    <w:rsid w:val="34802B47"/>
    <w:rsid w:val="34827E97"/>
    <w:rsid w:val="34833E82"/>
    <w:rsid w:val="34852915"/>
    <w:rsid w:val="34856823"/>
    <w:rsid w:val="34860929"/>
    <w:rsid w:val="348630C8"/>
    <w:rsid w:val="348B5DBB"/>
    <w:rsid w:val="348D7276"/>
    <w:rsid w:val="34A9114C"/>
    <w:rsid w:val="34CA6AC1"/>
    <w:rsid w:val="34D06677"/>
    <w:rsid w:val="34DA5917"/>
    <w:rsid w:val="34EC77FE"/>
    <w:rsid w:val="34F43850"/>
    <w:rsid w:val="34FE5986"/>
    <w:rsid w:val="34FF0425"/>
    <w:rsid w:val="35000767"/>
    <w:rsid w:val="35035388"/>
    <w:rsid w:val="350762FF"/>
    <w:rsid w:val="350C683B"/>
    <w:rsid w:val="350D4922"/>
    <w:rsid w:val="35241394"/>
    <w:rsid w:val="35242ACA"/>
    <w:rsid w:val="352C5206"/>
    <w:rsid w:val="353407A3"/>
    <w:rsid w:val="35363522"/>
    <w:rsid w:val="354855CA"/>
    <w:rsid w:val="355525F9"/>
    <w:rsid w:val="35596C5A"/>
    <w:rsid w:val="35655EB7"/>
    <w:rsid w:val="356E2C34"/>
    <w:rsid w:val="35764009"/>
    <w:rsid w:val="35A00A68"/>
    <w:rsid w:val="35A4789F"/>
    <w:rsid w:val="35BC3D7D"/>
    <w:rsid w:val="35CA0C35"/>
    <w:rsid w:val="35D62F77"/>
    <w:rsid w:val="35DC0DC4"/>
    <w:rsid w:val="35E053A1"/>
    <w:rsid w:val="35E546BB"/>
    <w:rsid w:val="35E901CB"/>
    <w:rsid w:val="35FD1E3B"/>
    <w:rsid w:val="361C5E71"/>
    <w:rsid w:val="36281DB7"/>
    <w:rsid w:val="36290B04"/>
    <w:rsid w:val="362E03BF"/>
    <w:rsid w:val="36360810"/>
    <w:rsid w:val="363A4C1A"/>
    <w:rsid w:val="3641089B"/>
    <w:rsid w:val="36482C51"/>
    <w:rsid w:val="36501807"/>
    <w:rsid w:val="365D4C5E"/>
    <w:rsid w:val="36686AEE"/>
    <w:rsid w:val="36745F01"/>
    <w:rsid w:val="367B55C6"/>
    <w:rsid w:val="3686156D"/>
    <w:rsid w:val="36876BB0"/>
    <w:rsid w:val="369630FF"/>
    <w:rsid w:val="369700D2"/>
    <w:rsid w:val="369F76D4"/>
    <w:rsid w:val="36A9172A"/>
    <w:rsid w:val="36B25849"/>
    <w:rsid w:val="36C9290D"/>
    <w:rsid w:val="36CB4E16"/>
    <w:rsid w:val="36DB0A18"/>
    <w:rsid w:val="36E3209D"/>
    <w:rsid w:val="36EB5F3E"/>
    <w:rsid w:val="36F971ED"/>
    <w:rsid w:val="37132D6C"/>
    <w:rsid w:val="371B459B"/>
    <w:rsid w:val="371E4A61"/>
    <w:rsid w:val="37205730"/>
    <w:rsid w:val="37213379"/>
    <w:rsid w:val="372F7E37"/>
    <w:rsid w:val="373133AB"/>
    <w:rsid w:val="37381DDA"/>
    <w:rsid w:val="373945B9"/>
    <w:rsid w:val="375245A0"/>
    <w:rsid w:val="37692505"/>
    <w:rsid w:val="37723D4D"/>
    <w:rsid w:val="377A04B6"/>
    <w:rsid w:val="377D4B26"/>
    <w:rsid w:val="37890862"/>
    <w:rsid w:val="378C2BAE"/>
    <w:rsid w:val="378C5722"/>
    <w:rsid w:val="37A4318A"/>
    <w:rsid w:val="37AA14D7"/>
    <w:rsid w:val="37AD4B1D"/>
    <w:rsid w:val="37B30EA3"/>
    <w:rsid w:val="37B81FB2"/>
    <w:rsid w:val="37BB10B6"/>
    <w:rsid w:val="37CA468D"/>
    <w:rsid w:val="37D16AD9"/>
    <w:rsid w:val="37D537E4"/>
    <w:rsid w:val="38015DED"/>
    <w:rsid w:val="380C04F0"/>
    <w:rsid w:val="381672E0"/>
    <w:rsid w:val="38190961"/>
    <w:rsid w:val="381A686E"/>
    <w:rsid w:val="3827112A"/>
    <w:rsid w:val="38290632"/>
    <w:rsid w:val="383820A2"/>
    <w:rsid w:val="38443519"/>
    <w:rsid w:val="384B7AC6"/>
    <w:rsid w:val="384D7465"/>
    <w:rsid w:val="385F5B01"/>
    <w:rsid w:val="38681638"/>
    <w:rsid w:val="386876E4"/>
    <w:rsid w:val="386879F5"/>
    <w:rsid w:val="387C25AD"/>
    <w:rsid w:val="38874744"/>
    <w:rsid w:val="388B1718"/>
    <w:rsid w:val="38A3363A"/>
    <w:rsid w:val="38AB6320"/>
    <w:rsid w:val="38B50A1A"/>
    <w:rsid w:val="38B81603"/>
    <w:rsid w:val="38BA000D"/>
    <w:rsid w:val="38CE029C"/>
    <w:rsid w:val="38D52F41"/>
    <w:rsid w:val="38E730C1"/>
    <w:rsid w:val="38F90689"/>
    <w:rsid w:val="39023820"/>
    <w:rsid w:val="390777E2"/>
    <w:rsid w:val="390B1A75"/>
    <w:rsid w:val="390B3BE8"/>
    <w:rsid w:val="390D5401"/>
    <w:rsid w:val="39292666"/>
    <w:rsid w:val="39307C4A"/>
    <w:rsid w:val="393B007F"/>
    <w:rsid w:val="393D73B0"/>
    <w:rsid w:val="39440345"/>
    <w:rsid w:val="394B59B9"/>
    <w:rsid w:val="39551E0D"/>
    <w:rsid w:val="396016FA"/>
    <w:rsid w:val="39611DA0"/>
    <w:rsid w:val="39617A54"/>
    <w:rsid w:val="39632688"/>
    <w:rsid w:val="39741FB1"/>
    <w:rsid w:val="39754520"/>
    <w:rsid w:val="397830AE"/>
    <w:rsid w:val="39B10E67"/>
    <w:rsid w:val="39CA57D3"/>
    <w:rsid w:val="39CD5926"/>
    <w:rsid w:val="39D60A10"/>
    <w:rsid w:val="39E6461E"/>
    <w:rsid w:val="39E832BF"/>
    <w:rsid w:val="39EE0EFA"/>
    <w:rsid w:val="39F2500B"/>
    <w:rsid w:val="39F77FF7"/>
    <w:rsid w:val="3A186D91"/>
    <w:rsid w:val="3A3B41C9"/>
    <w:rsid w:val="3A3E68D7"/>
    <w:rsid w:val="3A5674C4"/>
    <w:rsid w:val="3A5A3923"/>
    <w:rsid w:val="3A743B30"/>
    <w:rsid w:val="3A7B4294"/>
    <w:rsid w:val="3A812F8F"/>
    <w:rsid w:val="3A8812C0"/>
    <w:rsid w:val="3A9730E6"/>
    <w:rsid w:val="3AA94A41"/>
    <w:rsid w:val="3AAE2D4F"/>
    <w:rsid w:val="3AAF4733"/>
    <w:rsid w:val="3ABF6021"/>
    <w:rsid w:val="3AC955B9"/>
    <w:rsid w:val="3ACA6B49"/>
    <w:rsid w:val="3ADE2D25"/>
    <w:rsid w:val="3ADE4655"/>
    <w:rsid w:val="3AEA6486"/>
    <w:rsid w:val="3AF30ED0"/>
    <w:rsid w:val="3AFD7536"/>
    <w:rsid w:val="3AFF099F"/>
    <w:rsid w:val="3AFF2E1D"/>
    <w:rsid w:val="3B0508EC"/>
    <w:rsid w:val="3B055666"/>
    <w:rsid w:val="3B0A0C26"/>
    <w:rsid w:val="3B14638A"/>
    <w:rsid w:val="3B174D0B"/>
    <w:rsid w:val="3B192ECC"/>
    <w:rsid w:val="3B1A1DBC"/>
    <w:rsid w:val="3B25783B"/>
    <w:rsid w:val="3B2773C8"/>
    <w:rsid w:val="3B28653A"/>
    <w:rsid w:val="3B322554"/>
    <w:rsid w:val="3B345618"/>
    <w:rsid w:val="3B406CF6"/>
    <w:rsid w:val="3B426301"/>
    <w:rsid w:val="3B46668A"/>
    <w:rsid w:val="3B4706FE"/>
    <w:rsid w:val="3B616B8A"/>
    <w:rsid w:val="3B645291"/>
    <w:rsid w:val="3B8A291A"/>
    <w:rsid w:val="3BA23552"/>
    <w:rsid w:val="3BA53BA8"/>
    <w:rsid w:val="3BA94055"/>
    <w:rsid w:val="3BBD11FE"/>
    <w:rsid w:val="3BC75481"/>
    <w:rsid w:val="3BD25B91"/>
    <w:rsid w:val="3BD81009"/>
    <w:rsid w:val="3BD851B5"/>
    <w:rsid w:val="3BDB279A"/>
    <w:rsid w:val="3BE32591"/>
    <w:rsid w:val="3BF37B6A"/>
    <w:rsid w:val="3BF560AB"/>
    <w:rsid w:val="3BFE5D5D"/>
    <w:rsid w:val="3C03519B"/>
    <w:rsid w:val="3C060193"/>
    <w:rsid w:val="3C0C328A"/>
    <w:rsid w:val="3C0C4ACB"/>
    <w:rsid w:val="3C226D6D"/>
    <w:rsid w:val="3C287BA4"/>
    <w:rsid w:val="3C2B209F"/>
    <w:rsid w:val="3C2C3C91"/>
    <w:rsid w:val="3C2D7A79"/>
    <w:rsid w:val="3C2F0A39"/>
    <w:rsid w:val="3C364A65"/>
    <w:rsid w:val="3C4357B4"/>
    <w:rsid w:val="3C5D5DBF"/>
    <w:rsid w:val="3C674EB4"/>
    <w:rsid w:val="3C694086"/>
    <w:rsid w:val="3C6F4692"/>
    <w:rsid w:val="3C7E1917"/>
    <w:rsid w:val="3C810A05"/>
    <w:rsid w:val="3C863464"/>
    <w:rsid w:val="3C9050A0"/>
    <w:rsid w:val="3C9317E7"/>
    <w:rsid w:val="3C944907"/>
    <w:rsid w:val="3C984980"/>
    <w:rsid w:val="3C9A3E50"/>
    <w:rsid w:val="3C9E2E16"/>
    <w:rsid w:val="3CAC5CFD"/>
    <w:rsid w:val="3CAD16FC"/>
    <w:rsid w:val="3CBB563C"/>
    <w:rsid w:val="3CBD4B6E"/>
    <w:rsid w:val="3CBD7A64"/>
    <w:rsid w:val="3CC72145"/>
    <w:rsid w:val="3CC907D3"/>
    <w:rsid w:val="3CDB4EBB"/>
    <w:rsid w:val="3CEF6389"/>
    <w:rsid w:val="3CF047A0"/>
    <w:rsid w:val="3CF5507B"/>
    <w:rsid w:val="3CF617D7"/>
    <w:rsid w:val="3D076482"/>
    <w:rsid w:val="3D09719C"/>
    <w:rsid w:val="3D0B203E"/>
    <w:rsid w:val="3D28680F"/>
    <w:rsid w:val="3D2B337F"/>
    <w:rsid w:val="3D347671"/>
    <w:rsid w:val="3D354450"/>
    <w:rsid w:val="3D4503DB"/>
    <w:rsid w:val="3D4761B4"/>
    <w:rsid w:val="3D491FB1"/>
    <w:rsid w:val="3D4E1ACD"/>
    <w:rsid w:val="3D550B51"/>
    <w:rsid w:val="3D5D0F2D"/>
    <w:rsid w:val="3D631F50"/>
    <w:rsid w:val="3D741AF9"/>
    <w:rsid w:val="3D767EE3"/>
    <w:rsid w:val="3D7929C3"/>
    <w:rsid w:val="3D7C0EBC"/>
    <w:rsid w:val="3D904940"/>
    <w:rsid w:val="3D9103CB"/>
    <w:rsid w:val="3D9B3836"/>
    <w:rsid w:val="3D9F4712"/>
    <w:rsid w:val="3DA25958"/>
    <w:rsid w:val="3DA966F6"/>
    <w:rsid w:val="3DB1043C"/>
    <w:rsid w:val="3DBE18A0"/>
    <w:rsid w:val="3DC77AAA"/>
    <w:rsid w:val="3DCC3F7D"/>
    <w:rsid w:val="3DCD22E2"/>
    <w:rsid w:val="3DCF3218"/>
    <w:rsid w:val="3DD30CB1"/>
    <w:rsid w:val="3DEA45E6"/>
    <w:rsid w:val="3DEA723F"/>
    <w:rsid w:val="3DF607C3"/>
    <w:rsid w:val="3E1B49A1"/>
    <w:rsid w:val="3E1E4317"/>
    <w:rsid w:val="3E343945"/>
    <w:rsid w:val="3E343C4E"/>
    <w:rsid w:val="3E3468CE"/>
    <w:rsid w:val="3E4451B8"/>
    <w:rsid w:val="3E503B1D"/>
    <w:rsid w:val="3E6836B8"/>
    <w:rsid w:val="3E6F5FC5"/>
    <w:rsid w:val="3E886B0F"/>
    <w:rsid w:val="3E9A7AF5"/>
    <w:rsid w:val="3EA32C16"/>
    <w:rsid w:val="3EA62708"/>
    <w:rsid w:val="3EAC21F0"/>
    <w:rsid w:val="3EB338FA"/>
    <w:rsid w:val="3EB43A78"/>
    <w:rsid w:val="3EBA388A"/>
    <w:rsid w:val="3EBC3A49"/>
    <w:rsid w:val="3EE04288"/>
    <w:rsid w:val="3EE421F9"/>
    <w:rsid w:val="3EE710AB"/>
    <w:rsid w:val="3EF13FCA"/>
    <w:rsid w:val="3EF26F8B"/>
    <w:rsid w:val="3F0D21BF"/>
    <w:rsid w:val="3F1634C1"/>
    <w:rsid w:val="3F1F794A"/>
    <w:rsid w:val="3F29351E"/>
    <w:rsid w:val="3F2E064C"/>
    <w:rsid w:val="3F325CFF"/>
    <w:rsid w:val="3F410B66"/>
    <w:rsid w:val="3F426856"/>
    <w:rsid w:val="3F473EAD"/>
    <w:rsid w:val="3F5D2CD9"/>
    <w:rsid w:val="3F600C6D"/>
    <w:rsid w:val="3F7335EB"/>
    <w:rsid w:val="3F76233C"/>
    <w:rsid w:val="3F7709C0"/>
    <w:rsid w:val="3F7D0637"/>
    <w:rsid w:val="3F857332"/>
    <w:rsid w:val="3F883790"/>
    <w:rsid w:val="3F8A317F"/>
    <w:rsid w:val="3F973936"/>
    <w:rsid w:val="3FA06B6D"/>
    <w:rsid w:val="3FA26153"/>
    <w:rsid w:val="3FA66CF2"/>
    <w:rsid w:val="3FA903E1"/>
    <w:rsid w:val="3FD52026"/>
    <w:rsid w:val="3FDD1502"/>
    <w:rsid w:val="3FE55791"/>
    <w:rsid w:val="3FEE01B3"/>
    <w:rsid w:val="3FFA314D"/>
    <w:rsid w:val="3FFF1CC6"/>
    <w:rsid w:val="400B4166"/>
    <w:rsid w:val="400B4E74"/>
    <w:rsid w:val="400C2A04"/>
    <w:rsid w:val="400D5480"/>
    <w:rsid w:val="40141AF9"/>
    <w:rsid w:val="40141CEB"/>
    <w:rsid w:val="4017088B"/>
    <w:rsid w:val="401849E9"/>
    <w:rsid w:val="401F35A3"/>
    <w:rsid w:val="402019AF"/>
    <w:rsid w:val="40297DCC"/>
    <w:rsid w:val="403C0302"/>
    <w:rsid w:val="4040209C"/>
    <w:rsid w:val="404709E0"/>
    <w:rsid w:val="40477A16"/>
    <w:rsid w:val="404968E1"/>
    <w:rsid w:val="404E6C29"/>
    <w:rsid w:val="40676B4B"/>
    <w:rsid w:val="406A2412"/>
    <w:rsid w:val="406D4335"/>
    <w:rsid w:val="4076417B"/>
    <w:rsid w:val="407A2ADA"/>
    <w:rsid w:val="407B7922"/>
    <w:rsid w:val="40AB01D9"/>
    <w:rsid w:val="40CA455F"/>
    <w:rsid w:val="40D73776"/>
    <w:rsid w:val="40F13DEF"/>
    <w:rsid w:val="40FB2421"/>
    <w:rsid w:val="410A21C4"/>
    <w:rsid w:val="411B039F"/>
    <w:rsid w:val="41293307"/>
    <w:rsid w:val="41385FBF"/>
    <w:rsid w:val="413B75A3"/>
    <w:rsid w:val="414437FF"/>
    <w:rsid w:val="41577EEB"/>
    <w:rsid w:val="416D57CA"/>
    <w:rsid w:val="41783FE5"/>
    <w:rsid w:val="417A7327"/>
    <w:rsid w:val="4189281D"/>
    <w:rsid w:val="419F58E8"/>
    <w:rsid w:val="41B00670"/>
    <w:rsid w:val="41BA36B3"/>
    <w:rsid w:val="41BA543C"/>
    <w:rsid w:val="41C40B31"/>
    <w:rsid w:val="41C72537"/>
    <w:rsid w:val="41C92B85"/>
    <w:rsid w:val="41D303EF"/>
    <w:rsid w:val="41E14396"/>
    <w:rsid w:val="41E4080F"/>
    <w:rsid w:val="41F6741E"/>
    <w:rsid w:val="41F92D8B"/>
    <w:rsid w:val="420601B9"/>
    <w:rsid w:val="420A7846"/>
    <w:rsid w:val="421A1047"/>
    <w:rsid w:val="422F1EE5"/>
    <w:rsid w:val="42305D51"/>
    <w:rsid w:val="42325971"/>
    <w:rsid w:val="423E5CF8"/>
    <w:rsid w:val="424025BA"/>
    <w:rsid w:val="42455318"/>
    <w:rsid w:val="425C3389"/>
    <w:rsid w:val="425C4BBC"/>
    <w:rsid w:val="4263706D"/>
    <w:rsid w:val="426B27D9"/>
    <w:rsid w:val="426C6FC9"/>
    <w:rsid w:val="42834B91"/>
    <w:rsid w:val="42856BB8"/>
    <w:rsid w:val="428678A6"/>
    <w:rsid w:val="428C312E"/>
    <w:rsid w:val="429E03CD"/>
    <w:rsid w:val="42A26C2F"/>
    <w:rsid w:val="42B15CA5"/>
    <w:rsid w:val="42B34259"/>
    <w:rsid w:val="42B34F5F"/>
    <w:rsid w:val="42CD3AC0"/>
    <w:rsid w:val="42DB6A12"/>
    <w:rsid w:val="42E14A08"/>
    <w:rsid w:val="42F25628"/>
    <w:rsid w:val="42F619AC"/>
    <w:rsid w:val="42FF1706"/>
    <w:rsid w:val="431D3A14"/>
    <w:rsid w:val="43233365"/>
    <w:rsid w:val="43405987"/>
    <w:rsid w:val="434871FC"/>
    <w:rsid w:val="43500766"/>
    <w:rsid w:val="43596F34"/>
    <w:rsid w:val="43681F79"/>
    <w:rsid w:val="43685CA4"/>
    <w:rsid w:val="439109C8"/>
    <w:rsid w:val="439907DA"/>
    <w:rsid w:val="43A6283D"/>
    <w:rsid w:val="43A92FE8"/>
    <w:rsid w:val="43BF2E63"/>
    <w:rsid w:val="43C31E31"/>
    <w:rsid w:val="43D03742"/>
    <w:rsid w:val="43D643B7"/>
    <w:rsid w:val="43E21417"/>
    <w:rsid w:val="43E42FD9"/>
    <w:rsid w:val="43E567D2"/>
    <w:rsid w:val="43F5558D"/>
    <w:rsid w:val="4403593B"/>
    <w:rsid w:val="4412330D"/>
    <w:rsid w:val="44146A98"/>
    <w:rsid w:val="44411C8C"/>
    <w:rsid w:val="444343D2"/>
    <w:rsid w:val="444F6A67"/>
    <w:rsid w:val="44571050"/>
    <w:rsid w:val="446C7A54"/>
    <w:rsid w:val="447111DF"/>
    <w:rsid w:val="44766364"/>
    <w:rsid w:val="447B27B9"/>
    <w:rsid w:val="448E1AC5"/>
    <w:rsid w:val="44B93301"/>
    <w:rsid w:val="44C12ACB"/>
    <w:rsid w:val="44C75986"/>
    <w:rsid w:val="44D75F56"/>
    <w:rsid w:val="44DA6898"/>
    <w:rsid w:val="44EC4DA1"/>
    <w:rsid w:val="44EF6669"/>
    <w:rsid w:val="44F854E6"/>
    <w:rsid w:val="451366C2"/>
    <w:rsid w:val="451D09B9"/>
    <w:rsid w:val="452149FB"/>
    <w:rsid w:val="452B0AF1"/>
    <w:rsid w:val="4533281F"/>
    <w:rsid w:val="454C0D6E"/>
    <w:rsid w:val="4551092F"/>
    <w:rsid w:val="455256F5"/>
    <w:rsid w:val="4561532A"/>
    <w:rsid w:val="45665480"/>
    <w:rsid w:val="457E23C8"/>
    <w:rsid w:val="45847A1E"/>
    <w:rsid w:val="45916509"/>
    <w:rsid w:val="459E533B"/>
    <w:rsid w:val="45A464A9"/>
    <w:rsid w:val="45AA79D5"/>
    <w:rsid w:val="45B1076F"/>
    <w:rsid w:val="45BE186C"/>
    <w:rsid w:val="45CA2155"/>
    <w:rsid w:val="45CE099B"/>
    <w:rsid w:val="45D2242F"/>
    <w:rsid w:val="45D232A8"/>
    <w:rsid w:val="45E46CD1"/>
    <w:rsid w:val="45FA7B95"/>
    <w:rsid w:val="46023DEB"/>
    <w:rsid w:val="46153DB7"/>
    <w:rsid w:val="46251AD8"/>
    <w:rsid w:val="4629203C"/>
    <w:rsid w:val="462B1B79"/>
    <w:rsid w:val="4636577F"/>
    <w:rsid w:val="46382486"/>
    <w:rsid w:val="46496CED"/>
    <w:rsid w:val="465B3259"/>
    <w:rsid w:val="465D7D4D"/>
    <w:rsid w:val="46603D5A"/>
    <w:rsid w:val="467264AF"/>
    <w:rsid w:val="46746C3F"/>
    <w:rsid w:val="468163DE"/>
    <w:rsid w:val="46860EC7"/>
    <w:rsid w:val="46950C1A"/>
    <w:rsid w:val="46A629E4"/>
    <w:rsid w:val="46A93E02"/>
    <w:rsid w:val="46AB4E12"/>
    <w:rsid w:val="46B15CCE"/>
    <w:rsid w:val="46BB0DB9"/>
    <w:rsid w:val="46BC7F08"/>
    <w:rsid w:val="46C24089"/>
    <w:rsid w:val="46CD1E5C"/>
    <w:rsid w:val="46D63E94"/>
    <w:rsid w:val="46DF2F01"/>
    <w:rsid w:val="46EE38B6"/>
    <w:rsid w:val="46EE4A11"/>
    <w:rsid w:val="46EE6EA5"/>
    <w:rsid w:val="46F80B46"/>
    <w:rsid w:val="46FD68B8"/>
    <w:rsid w:val="47021866"/>
    <w:rsid w:val="4720092E"/>
    <w:rsid w:val="472D7CC4"/>
    <w:rsid w:val="472F566C"/>
    <w:rsid w:val="473612DD"/>
    <w:rsid w:val="473A4BEA"/>
    <w:rsid w:val="47434373"/>
    <w:rsid w:val="47453201"/>
    <w:rsid w:val="474C023B"/>
    <w:rsid w:val="474C064C"/>
    <w:rsid w:val="475A1F60"/>
    <w:rsid w:val="476B27AE"/>
    <w:rsid w:val="476F4AE6"/>
    <w:rsid w:val="478501C3"/>
    <w:rsid w:val="478A0167"/>
    <w:rsid w:val="478E2120"/>
    <w:rsid w:val="478F2CDD"/>
    <w:rsid w:val="47A457BA"/>
    <w:rsid w:val="47B337D9"/>
    <w:rsid w:val="47C92E6E"/>
    <w:rsid w:val="47CD230C"/>
    <w:rsid w:val="47DB0616"/>
    <w:rsid w:val="47DC378F"/>
    <w:rsid w:val="47E87421"/>
    <w:rsid w:val="47EF4384"/>
    <w:rsid w:val="47FB6AD4"/>
    <w:rsid w:val="48072680"/>
    <w:rsid w:val="480A217C"/>
    <w:rsid w:val="4813597A"/>
    <w:rsid w:val="481C4078"/>
    <w:rsid w:val="48255B15"/>
    <w:rsid w:val="48293BBE"/>
    <w:rsid w:val="483422A1"/>
    <w:rsid w:val="483546F3"/>
    <w:rsid w:val="483A25F9"/>
    <w:rsid w:val="483F358C"/>
    <w:rsid w:val="485118B9"/>
    <w:rsid w:val="485620DB"/>
    <w:rsid w:val="486238D3"/>
    <w:rsid w:val="48683389"/>
    <w:rsid w:val="48720607"/>
    <w:rsid w:val="489217DD"/>
    <w:rsid w:val="489C6440"/>
    <w:rsid w:val="48A849D6"/>
    <w:rsid w:val="48B157AC"/>
    <w:rsid w:val="48B453F4"/>
    <w:rsid w:val="48BD15D9"/>
    <w:rsid w:val="48CC1684"/>
    <w:rsid w:val="48E86167"/>
    <w:rsid w:val="4908761C"/>
    <w:rsid w:val="491738F0"/>
    <w:rsid w:val="49270028"/>
    <w:rsid w:val="4937176D"/>
    <w:rsid w:val="493B19F5"/>
    <w:rsid w:val="494546BE"/>
    <w:rsid w:val="494D00F1"/>
    <w:rsid w:val="49510B83"/>
    <w:rsid w:val="49517433"/>
    <w:rsid w:val="495766D8"/>
    <w:rsid w:val="49617920"/>
    <w:rsid w:val="4973572F"/>
    <w:rsid w:val="49842875"/>
    <w:rsid w:val="498B6E53"/>
    <w:rsid w:val="498E6EC6"/>
    <w:rsid w:val="4991106A"/>
    <w:rsid w:val="49961178"/>
    <w:rsid w:val="49A91A4D"/>
    <w:rsid w:val="49BD67C6"/>
    <w:rsid w:val="49BF7644"/>
    <w:rsid w:val="49C2297A"/>
    <w:rsid w:val="49CE3BD9"/>
    <w:rsid w:val="49DF3702"/>
    <w:rsid w:val="49E22D07"/>
    <w:rsid w:val="49E6748B"/>
    <w:rsid w:val="49E95B75"/>
    <w:rsid w:val="49F07A93"/>
    <w:rsid w:val="49F61FDC"/>
    <w:rsid w:val="49F81885"/>
    <w:rsid w:val="49FC1BE1"/>
    <w:rsid w:val="49FE7406"/>
    <w:rsid w:val="4A1910BF"/>
    <w:rsid w:val="4A194E1A"/>
    <w:rsid w:val="4A1B3D5F"/>
    <w:rsid w:val="4A2B1BCC"/>
    <w:rsid w:val="4A303A7F"/>
    <w:rsid w:val="4A310415"/>
    <w:rsid w:val="4A3764A3"/>
    <w:rsid w:val="4A390D30"/>
    <w:rsid w:val="4A3E04E7"/>
    <w:rsid w:val="4A485BCF"/>
    <w:rsid w:val="4A492B2A"/>
    <w:rsid w:val="4A4F1AAC"/>
    <w:rsid w:val="4A55386C"/>
    <w:rsid w:val="4A5C45ED"/>
    <w:rsid w:val="4A787056"/>
    <w:rsid w:val="4A7A6A9E"/>
    <w:rsid w:val="4A7B0B2A"/>
    <w:rsid w:val="4A965CBC"/>
    <w:rsid w:val="4A9A48E5"/>
    <w:rsid w:val="4A9D4614"/>
    <w:rsid w:val="4AB339CF"/>
    <w:rsid w:val="4AB80566"/>
    <w:rsid w:val="4AC372F6"/>
    <w:rsid w:val="4AC85123"/>
    <w:rsid w:val="4ACF07CF"/>
    <w:rsid w:val="4AD77221"/>
    <w:rsid w:val="4ADB4782"/>
    <w:rsid w:val="4ADC5BCA"/>
    <w:rsid w:val="4AE32200"/>
    <w:rsid w:val="4AF846A6"/>
    <w:rsid w:val="4AFE31C8"/>
    <w:rsid w:val="4B066B35"/>
    <w:rsid w:val="4B082722"/>
    <w:rsid w:val="4B255D6C"/>
    <w:rsid w:val="4B2814D9"/>
    <w:rsid w:val="4B2A7AAF"/>
    <w:rsid w:val="4B2D52EA"/>
    <w:rsid w:val="4B3D4634"/>
    <w:rsid w:val="4B4A2010"/>
    <w:rsid w:val="4B5A6088"/>
    <w:rsid w:val="4B5F6FFD"/>
    <w:rsid w:val="4B62079C"/>
    <w:rsid w:val="4B730828"/>
    <w:rsid w:val="4B78389A"/>
    <w:rsid w:val="4B7B145F"/>
    <w:rsid w:val="4B842FE3"/>
    <w:rsid w:val="4B844167"/>
    <w:rsid w:val="4B865615"/>
    <w:rsid w:val="4B8E00E5"/>
    <w:rsid w:val="4B92636F"/>
    <w:rsid w:val="4BBE3195"/>
    <w:rsid w:val="4BC56590"/>
    <w:rsid w:val="4BD23E1F"/>
    <w:rsid w:val="4BD3528D"/>
    <w:rsid w:val="4BE8147D"/>
    <w:rsid w:val="4BE81A6F"/>
    <w:rsid w:val="4BF248C8"/>
    <w:rsid w:val="4BF54264"/>
    <w:rsid w:val="4C0510E0"/>
    <w:rsid w:val="4C070000"/>
    <w:rsid w:val="4C186DE7"/>
    <w:rsid w:val="4C1A42F9"/>
    <w:rsid w:val="4C206CDC"/>
    <w:rsid w:val="4C226F47"/>
    <w:rsid w:val="4C332511"/>
    <w:rsid w:val="4C354739"/>
    <w:rsid w:val="4C3C4C43"/>
    <w:rsid w:val="4C405C05"/>
    <w:rsid w:val="4C415D88"/>
    <w:rsid w:val="4C4E712E"/>
    <w:rsid w:val="4C5B4F52"/>
    <w:rsid w:val="4C5D421A"/>
    <w:rsid w:val="4C68316A"/>
    <w:rsid w:val="4C7463AC"/>
    <w:rsid w:val="4C7934EA"/>
    <w:rsid w:val="4C8069B5"/>
    <w:rsid w:val="4C9A4B4F"/>
    <w:rsid w:val="4CA909BC"/>
    <w:rsid w:val="4CAD05BC"/>
    <w:rsid w:val="4CC856D4"/>
    <w:rsid w:val="4CD94123"/>
    <w:rsid w:val="4CDC71F0"/>
    <w:rsid w:val="4CE9490A"/>
    <w:rsid w:val="4CEF1F5E"/>
    <w:rsid w:val="4D0B0A99"/>
    <w:rsid w:val="4D0E7CEA"/>
    <w:rsid w:val="4D160B10"/>
    <w:rsid w:val="4D1F38B4"/>
    <w:rsid w:val="4D2C63A5"/>
    <w:rsid w:val="4D2D03F7"/>
    <w:rsid w:val="4D3B634D"/>
    <w:rsid w:val="4D400478"/>
    <w:rsid w:val="4D4F6BB2"/>
    <w:rsid w:val="4D524DB9"/>
    <w:rsid w:val="4D590BC8"/>
    <w:rsid w:val="4D6D20B7"/>
    <w:rsid w:val="4D6F4114"/>
    <w:rsid w:val="4D72535E"/>
    <w:rsid w:val="4D7365A8"/>
    <w:rsid w:val="4D7928BD"/>
    <w:rsid w:val="4D7E161F"/>
    <w:rsid w:val="4D8149A8"/>
    <w:rsid w:val="4D8432B1"/>
    <w:rsid w:val="4D9222CF"/>
    <w:rsid w:val="4D9A223F"/>
    <w:rsid w:val="4DB8435C"/>
    <w:rsid w:val="4DC8623D"/>
    <w:rsid w:val="4DCD77B9"/>
    <w:rsid w:val="4DD0534D"/>
    <w:rsid w:val="4DD169BC"/>
    <w:rsid w:val="4DD6401B"/>
    <w:rsid w:val="4DDB3934"/>
    <w:rsid w:val="4DDD1082"/>
    <w:rsid w:val="4DE77BE5"/>
    <w:rsid w:val="4DEC2237"/>
    <w:rsid w:val="4DF43F17"/>
    <w:rsid w:val="4DFF2B13"/>
    <w:rsid w:val="4E023BD3"/>
    <w:rsid w:val="4E10554C"/>
    <w:rsid w:val="4E1F5FCF"/>
    <w:rsid w:val="4E26418B"/>
    <w:rsid w:val="4E277EA6"/>
    <w:rsid w:val="4E31425E"/>
    <w:rsid w:val="4E361E18"/>
    <w:rsid w:val="4E3D3870"/>
    <w:rsid w:val="4E4956C9"/>
    <w:rsid w:val="4E497086"/>
    <w:rsid w:val="4E581562"/>
    <w:rsid w:val="4E655870"/>
    <w:rsid w:val="4E6A46C4"/>
    <w:rsid w:val="4E7B3910"/>
    <w:rsid w:val="4E7E344A"/>
    <w:rsid w:val="4E844E73"/>
    <w:rsid w:val="4E9A5813"/>
    <w:rsid w:val="4EA942BD"/>
    <w:rsid w:val="4EA948DA"/>
    <w:rsid w:val="4EAB12ED"/>
    <w:rsid w:val="4EB967A6"/>
    <w:rsid w:val="4EC46520"/>
    <w:rsid w:val="4EE1084C"/>
    <w:rsid w:val="4EFD7F50"/>
    <w:rsid w:val="4F004108"/>
    <w:rsid w:val="4F2C5686"/>
    <w:rsid w:val="4F2E4B6E"/>
    <w:rsid w:val="4F3442D9"/>
    <w:rsid w:val="4F3D6F09"/>
    <w:rsid w:val="4F43436C"/>
    <w:rsid w:val="4F434FBF"/>
    <w:rsid w:val="4F4C1645"/>
    <w:rsid w:val="4F630F03"/>
    <w:rsid w:val="4F691877"/>
    <w:rsid w:val="4F6B7C07"/>
    <w:rsid w:val="4F8008F1"/>
    <w:rsid w:val="4F96758B"/>
    <w:rsid w:val="4FA167AE"/>
    <w:rsid w:val="4FAE1BF8"/>
    <w:rsid w:val="4FAF6455"/>
    <w:rsid w:val="4FBA724A"/>
    <w:rsid w:val="4FC5171C"/>
    <w:rsid w:val="4FC67BFC"/>
    <w:rsid w:val="4FC93371"/>
    <w:rsid w:val="4FD23AE0"/>
    <w:rsid w:val="4FD46B9A"/>
    <w:rsid w:val="4FDD5D85"/>
    <w:rsid w:val="4FE127C8"/>
    <w:rsid w:val="4FED0995"/>
    <w:rsid w:val="4FF21EF3"/>
    <w:rsid w:val="50001CDC"/>
    <w:rsid w:val="500131C3"/>
    <w:rsid w:val="50040341"/>
    <w:rsid w:val="500656BE"/>
    <w:rsid w:val="500F03A6"/>
    <w:rsid w:val="50114DDF"/>
    <w:rsid w:val="50142419"/>
    <w:rsid w:val="502102A4"/>
    <w:rsid w:val="50294E87"/>
    <w:rsid w:val="502E1E74"/>
    <w:rsid w:val="5036230C"/>
    <w:rsid w:val="503D31DB"/>
    <w:rsid w:val="504558B2"/>
    <w:rsid w:val="50456520"/>
    <w:rsid w:val="50571B93"/>
    <w:rsid w:val="50573287"/>
    <w:rsid w:val="50596A2B"/>
    <w:rsid w:val="5067251C"/>
    <w:rsid w:val="50686616"/>
    <w:rsid w:val="506F4447"/>
    <w:rsid w:val="507F373B"/>
    <w:rsid w:val="50930328"/>
    <w:rsid w:val="509637DF"/>
    <w:rsid w:val="50A42701"/>
    <w:rsid w:val="50A9659F"/>
    <w:rsid w:val="50AD2DD2"/>
    <w:rsid w:val="50AF1AA4"/>
    <w:rsid w:val="50AF3190"/>
    <w:rsid w:val="50BE2C67"/>
    <w:rsid w:val="50C171C5"/>
    <w:rsid w:val="50C635A7"/>
    <w:rsid w:val="50C7261F"/>
    <w:rsid w:val="50C949B0"/>
    <w:rsid w:val="50CD658E"/>
    <w:rsid w:val="50E11DEE"/>
    <w:rsid w:val="50FA7EDB"/>
    <w:rsid w:val="5106799B"/>
    <w:rsid w:val="510B5727"/>
    <w:rsid w:val="510D584F"/>
    <w:rsid w:val="51250FB1"/>
    <w:rsid w:val="512F3978"/>
    <w:rsid w:val="51406EE9"/>
    <w:rsid w:val="51465093"/>
    <w:rsid w:val="514B2F87"/>
    <w:rsid w:val="515C4070"/>
    <w:rsid w:val="51620143"/>
    <w:rsid w:val="516860A7"/>
    <w:rsid w:val="516928C2"/>
    <w:rsid w:val="516E6086"/>
    <w:rsid w:val="517F373C"/>
    <w:rsid w:val="519D05F8"/>
    <w:rsid w:val="519F5D50"/>
    <w:rsid w:val="51A05DE3"/>
    <w:rsid w:val="51A17F90"/>
    <w:rsid w:val="51B91117"/>
    <w:rsid w:val="51BB0647"/>
    <w:rsid w:val="51C856B9"/>
    <w:rsid w:val="51D46A45"/>
    <w:rsid w:val="51F3212E"/>
    <w:rsid w:val="51F600E4"/>
    <w:rsid w:val="51F93101"/>
    <w:rsid w:val="51FF0BFC"/>
    <w:rsid w:val="52070072"/>
    <w:rsid w:val="522559D7"/>
    <w:rsid w:val="5231140C"/>
    <w:rsid w:val="52431C0B"/>
    <w:rsid w:val="524914F7"/>
    <w:rsid w:val="5272577E"/>
    <w:rsid w:val="52782437"/>
    <w:rsid w:val="52902EFC"/>
    <w:rsid w:val="52977425"/>
    <w:rsid w:val="529D54F5"/>
    <w:rsid w:val="52AD0E55"/>
    <w:rsid w:val="52AE0DE9"/>
    <w:rsid w:val="52B71292"/>
    <w:rsid w:val="52BD5F7E"/>
    <w:rsid w:val="52C52BCE"/>
    <w:rsid w:val="52CF0ADA"/>
    <w:rsid w:val="52CF22EB"/>
    <w:rsid w:val="52D94E23"/>
    <w:rsid w:val="52DB3903"/>
    <w:rsid w:val="52DD6B13"/>
    <w:rsid w:val="52E86FA9"/>
    <w:rsid w:val="52F32F2A"/>
    <w:rsid w:val="52FB6668"/>
    <w:rsid w:val="52FB7ED2"/>
    <w:rsid w:val="531E1D8E"/>
    <w:rsid w:val="53241A0E"/>
    <w:rsid w:val="532A141F"/>
    <w:rsid w:val="532C4068"/>
    <w:rsid w:val="53305F3E"/>
    <w:rsid w:val="533348AA"/>
    <w:rsid w:val="533679E0"/>
    <w:rsid w:val="53475E58"/>
    <w:rsid w:val="534E3AE4"/>
    <w:rsid w:val="535819A0"/>
    <w:rsid w:val="536A33B1"/>
    <w:rsid w:val="536F120A"/>
    <w:rsid w:val="537A2103"/>
    <w:rsid w:val="537F718E"/>
    <w:rsid w:val="53912600"/>
    <w:rsid w:val="53C93A1E"/>
    <w:rsid w:val="53DD02A2"/>
    <w:rsid w:val="53E14614"/>
    <w:rsid w:val="53EF614C"/>
    <w:rsid w:val="53FA5FAD"/>
    <w:rsid w:val="53FD6A09"/>
    <w:rsid w:val="54011E13"/>
    <w:rsid w:val="54073017"/>
    <w:rsid w:val="54124F43"/>
    <w:rsid w:val="54301A60"/>
    <w:rsid w:val="54360CB2"/>
    <w:rsid w:val="54374AC9"/>
    <w:rsid w:val="5445003F"/>
    <w:rsid w:val="544B255E"/>
    <w:rsid w:val="545B5368"/>
    <w:rsid w:val="54637065"/>
    <w:rsid w:val="54644FB8"/>
    <w:rsid w:val="54671C8E"/>
    <w:rsid w:val="546756D3"/>
    <w:rsid w:val="547309BD"/>
    <w:rsid w:val="5475431A"/>
    <w:rsid w:val="54771448"/>
    <w:rsid w:val="547A0873"/>
    <w:rsid w:val="547B3787"/>
    <w:rsid w:val="548079F9"/>
    <w:rsid w:val="54843EAB"/>
    <w:rsid w:val="5487094D"/>
    <w:rsid w:val="54892094"/>
    <w:rsid w:val="54971166"/>
    <w:rsid w:val="549C5BEA"/>
    <w:rsid w:val="54A228F9"/>
    <w:rsid w:val="54A34B4A"/>
    <w:rsid w:val="54C9725A"/>
    <w:rsid w:val="54DE0761"/>
    <w:rsid w:val="54DE715C"/>
    <w:rsid w:val="54EC6083"/>
    <w:rsid w:val="54F11E7E"/>
    <w:rsid w:val="54F36B35"/>
    <w:rsid w:val="550E01A6"/>
    <w:rsid w:val="551259B7"/>
    <w:rsid w:val="552A3702"/>
    <w:rsid w:val="55471149"/>
    <w:rsid w:val="554A4B0B"/>
    <w:rsid w:val="554D5AE4"/>
    <w:rsid w:val="55773BFE"/>
    <w:rsid w:val="558B3074"/>
    <w:rsid w:val="558E08EA"/>
    <w:rsid w:val="55B17A84"/>
    <w:rsid w:val="55B71F8B"/>
    <w:rsid w:val="55B864DA"/>
    <w:rsid w:val="55D03D7B"/>
    <w:rsid w:val="55D9547A"/>
    <w:rsid w:val="560148C0"/>
    <w:rsid w:val="561A60EE"/>
    <w:rsid w:val="562C1D08"/>
    <w:rsid w:val="5637642B"/>
    <w:rsid w:val="564252D4"/>
    <w:rsid w:val="56620678"/>
    <w:rsid w:val="56640F45"/>
    <w:rsid w:val="566466AB"/>
    <w:rsid w:val="566614CF"/>
    <w:rsid w:val="567C1AF4"/>
    <w:rsid w:val="567F25FF"/>
    <w:rsid w:val="56885D67"/>
    <w:rsid w:val="56897B0B"/>
    <w:rsid w:val="569C3AA8"/>
    <w:rsid w:val="56AD1773"/>
    <w:rsid w:val="56AF4A56"/>
    <w:rsid w:val="56DC7014"/>
    <w:rsid w:val="56F830D9"/>
    <w:rsid w:val="56FC6C04"/>
    <w:rsid w:val="56FE0D27"/>
    <w:rsid w:val="570176DE"/>
    <w:rsid w:val="57095F40"/>
    <w:rsid w:val="570D1F47"/>
    <w:rsid w:val="57157B5A"/>
    <w:rsid w:val="571B7E79"/>
    <w:rsid w:val="571C65A1"/>
    <w:rsid w:val="572C62DA"/>
    <w:rsid w:val="572E2BC0"/>
    <w:rsid w:val="5731329B"/>
    <w:rsid w:val="57361F8F"/>
    <w:rsid w:val="57432B3B"/>
    <w:rsid w:val="57553049"/>
    <w:rsid w:val="57573A46"/>
    <w:rsid w:val="57630910"/>
    <w:rsid w:val="57691213"/>
    <w:rsid w:val="576E1B62"/>
    <w:rsid w:val="57783C66"/>
    <w:rsid w:val="57816427"/>
    <w:rsid w:val="5783522A"/>
    <w:rsid w:val="57941D77"/>
    <w:rsid w:val="5794318A"/>
    <w:rsid w:val="579965A8"/>
    <w:rsid w:val="57CB5F00"/>
    <w:rsid w:val="57CD458E"/>
    <w:rsid w:val="57D268E9"/>
    <w:rsid w:val="57D62CC6"/>
    <w:rsid w:val="57D86C07"/>
    <w:rsid w:val="57E42A35"/>
    <w:rsid w:val="57F069BE"/>
    <w:rsid w:val="57FC47AF"/>
    <w:rsid w:val="58056C03"/>
    <w:rsid w:val="580716F5"/>
    <w:rsid w:val="58075F81"/>
    <w:rsid w:val="58087388"/>
    <w:rsid w:val="58093377"/>
    <w:rsid w:val="581165D1"/>
    <w:rsid w:val="58183598"/>
    <w:rsid w:val="58221E18"/>
    <w:rsid w:val="582D18FD"/>
    <w:rsid w:val="58306890"/>
    <w:rsid w:val="5830730A"/>
    <w:rsid w:val="58324BC9"/>
    <w:rsid w:val="58483150"/>
    <w:rsid w:val="58490BF0"/>
    <w:rsid w:val="584C12D9"/>
    <w:rsid w:val="584C7600"/>
    <w:rsid w:val="584D42A7"/>
    <w:rsid w:val="585B7160"/>
    <w:rsid w:val="5888249A"/>
    <w:rsid w:val="589D55D8"/>
    <w:rsid w:val="58A07FB7"/>
    <w:rsid w:val="58B57BD3"/>
    <w:rsid w:val="58CC331F"/>
    <w:rsid w:val="58D04C58"/>
    <w:rsid w:val="58DB1D93"/>
    <w:rsid w:val="58E56DD1"/>
    <w:rsid w:val="58EA6647"/>
    <w:rsid w:val="58FD49F5"/>
    <w:rsid w:val="590B735B"/>
    <w:rsid w:val="590C0BDD"/>
    <w:rsid w:val="590C1534"/>
    <w:rsid w:val="59217445"/>
    <w:rsid w:val="59304706"/>
    <w:rsid w:val="593D5F30"/>
    <w:rsid w:val="594B71AD"/>
    <w:rsid w:val="59560F02"/>
    <w:rsid w:val="59563A6A"/>
    <w:rsid w:val="59661FF1"/>
    <w:rsid w:val="59981DFA"/>
    <w:rsid w:val="599D32F8"/>
    <w:rsid w:val="599D7E68"/>
    <w:rsid w:val="59AD5741"/>
    <w:rsid w:val="59B14FF7"/>
    <w:rsid w:val="59C74331"/>
    <w:rsid w:val="59CA2C81"/>
    <w:rsid w:val="59CD5201"/>
    <w:rsid w:val="59DC4782"/>
    <w:rsid w:val="59DC4F1F"/>
    <w:rsid w:val="59E1420B"/>
    <w:rsid w:val="59F82C9B"/>
    <w:rsid w:val="5A0D2A08"/>
    <w:rsid w:val="5A2062A0"/>
    <w:rsid w:val="5A2E7464"/>
    <w:rsid w:val="5A46110E"/>
    <w:rsid w:val="5A4911BB"/>
    <w:rsid w:val="5A4D6130"/>
    <w:rsid w:val="5A543DCF"/>
    <w:rsid w:val="5A5D3E4D"/>
    <w:rsid w:val="5A650A29"/>
    <w:rsid w:val="5A701376"/>
    <w:rsid w:val="5A7B729F"/>
    <w:rsid w:val="5A946A5D"/>
    <w:rsid w:val="5A947CE1"/>
    <w:rsid w:val="5A9D6527"/>
    <w:rsid w:val="5AA16A5A"/>
    <w:rsid w:val="5AA95276"/>
    <w:rsid w:val="5AB702BB"/>
    <w:rsid w:val="5ABB54DF"/>
    <w:rsid w:val="5AC83159"/>
    <w:rsid w:val="5ACC0FC9"/>
    <w:rsid w:val="5AD274F5"/>
    <w:rsid w:val="5AF11264"/>
    <w:rsid w:val="5AFB2014"/>
    <w:rsid w:val="5B10490F"/>
    <w:rsid w:val="5B195628"/>
    <w:rsid w:val="5B3E612E"/>
    <w:rsid w:val="5B487B83"/>
    <w:rsid w:val="5B6979F9"/>
    <w:rsid w:val="5B6A6589"/>
    <w:rsid w:val="5B6B043F"/>
    <w:rsid w:val="5B6C61A7"/>
    <w:rsid w:val="5B862DCB"/>
    <w:rsid w:val="5B88704A"/>
    <w:rsid w:val="5B9A63BE"/>
    <w:rsid w:val="5B9E133C"/>
    <w:rsid w:val="5BA258BD"/>
    <w:rsid w:val="5BA26611"/>
    <w:rsid w:val="5BBF488A"/>
    <w:rsid w:val="5BD04517"/>
    <w:rsid w:val="5BDF3CB7"/>
    <w:rsid w:val="5BE73552"/>
    <w:rsid w:val="5BFF6ABA"/>
    <w:rsid w:val="5C0A5EAD"/>
    <w:rsid w:val="5C14100B"/>
    <w:rsid w:val="5C2E476D"/>
    <w:rsid w:val="5C3335E7"/>
    <w:rsid w:val="5C373172"/>
    <w:rsid w:val="5C444ED4"/>
    <w:rsid w:val="5C455E97"/>
    <w:rsid w:val="5C4F6E58"/>
    <w:rsid w:val="5C5C43E5"/>
    <w:rsid w:val="5C5D0407"/>
    <w:rsid w:val="5C5E4616"/>
    <w:rsid w:val="5C602790"/>
    <w:rsid w:val="5C647026"/>
    <w:rsid w:val="5C69659D"/>
    <w:rsid w:val="5C6C6DCF"/>
    <w:rsid w:val="5C6E4F33"/>
    <w:rsid w:val="5C7A4620"/>
    <w:rsid w:val="5C7B7B88"/>
    <w:rsid w:val="5C996525"/>
    <w:rsid w:val="5CA149C8"/>
    <w:rsid w:val="5CA37200"/>
    <w:rsid w:val="5CA957B0"/>
    <w:rsid w:val="5CBC3BBE"/>
    <w:rsid w:val="5CC529C0"/>
    <w:rsid w:val="5CF637BC"/>
    <w:rsid w:val="5CF81222"/>
    <w:rsid w:val="5CFF21E7"/>
    <w:rsid w:val="5D3128DD"/>
    <w:rsid w:val="5D3E4EE7"/>
    <w:rsid w:val="5D403BBB"/>
    <w:rsid w:val="5D460803"/>
    <w:rsid w:val="5D4C06AC"/>
    <w:rsid w:val="5D4F413C"/>
    <w:rsid w:val="5D631F81"/>
    <w:rsid w:val="5D6E301E"/>
    <w:rsid w:val="5D7D4647"/>
    <w:rsid w:val="5D807073"/>
    <w:rsid w:val="5D8829FF"/>
    <w:rsid w:val="5D96685A"/>
    <w:rsid w:val="5DB01619"/>
    <w:rsid w:val="5DBB778E"/>
    <w:rsid w:val="5DCD0128"/>
    <w:rsid w:val="5DD749EB"/>
    <w:rsid w:val="5DDB06A3"/>
    <w:rsid w:val="5DE03651"/>
    <w:rsid w:val="5E0330B8"/>
    <w:rsid w:val="5E063DD4"/>
    <w:rsid w:val="5E2B2AC5"/>
    <w:rsid w:val="5E2F773E"/>
    <w:rsid w:val="5E34440F"/>
    <w:rsid w:val="5E371A07"/>
    <w:rsid w:val="5E4A42AB"/>
    <w:rsid w:val="5E522C3F"/>
    <w:rsid w:val="5E5773CC"/>
    <w:rsid w:val="5E62659F"/>
    <w:rsid w:val="5E843018"/>
    <w:rsid w:val="5E883191"/>
    <w:rsid w:val="5E8B031F"/>
    <w:rsid w:val="5E9C22CE"/>
    <w:rsid w:val="5E9D0675"/>
    <w:rsid w:val="5EA05638"/>
    <w:rsid w:val="5EAF249E"/>
    <w:rsid w:val="5EB43D90"/>
    <w:rsid w:val="5EBA6E2A"/>
    <w:rsid w:val="5EC1378F"/>
    <w:rsid w:val="5EC23F77"/>
    <w:rsid w:val="5ED27FF6"/>
    <w:rsid w:val="5ED41740"/>
    <w:rsid w:val="5EE01876"/>
    <w:rsid w:val="5EE566D5"/>
    <w:rsid w:val="5EE746A6"/>
    <w:rsid w:val="5EE83954"/>
    <w:rsid w:val="5EED543B"/>
    <w:rsid w:val="5EFE2A32"/>
    <w:rsid w:val="5EFF0F61"/>
    <w:rsid w:val="5F041548"/>
    <w:rsid w:val="5F074E59"/>
    <w:rsid w:val="5F112E56"/>
    <w:rsid w:val="5F27792E"/>
    <w:rsid w:val="5F360354"/>
    <w:rsid w:val="5F4774EA"/>
    <w:rsid w:val="5F5513A8"/>
    <w:rsid w:val="5F6568DD"/>
    <w:rsid w:val="5F6B283D"/>
    <w:rsid w:val="5F6F43A3"/>
    <w:rsid w:val="5F7B2FF0"/>
    <w:rsid w:val="5F7B3CEA"/>
    <w:rsid w:val="5F7C1986"/>
    <w:rsid w:val="5F805C92"/>
    <w:rsid w:val="5F9E12A7"/>
    <w:rsid w:val="5FBB6E25"/>
    <w:rsid w:val="5FBE0763"/>
    <w:rsid w:val="5FBF6BEE"/>
    <w:rsid w:val="5FE0291B"/>
    <w:rsid w:val="5FE5380E"/>
    <w:rsid w:val="5FE77F56"/>
    <w:rsid w:val="5FF35284"/>
    <w:rsid w:val="5FF6454C"/>
    <w:rsid w:val="60012557"/>
    <w:rsid w:val="60072862"/>
    <w:rsid w:val="601F2346"/>
    <w:rsid w:val="60274BCF"/>
    <w:rsid w:val="602D2137"/>
    <w:rsid w:val="602E7F1E"/>
    <w:rsid w:val="60343994"/>
    <w:rsid w:val="604075E4"/>
    <w:rsid w:val="6043008C"/>
    <w:rsid w:val="604361CA"/>
    <w:rsid w:val="604D0309"/>
    <w:rsid w:val="60500512"/>
    <w:rsid w:val="60561E1B"/>
    <w:rsid w:val="606053D6"/>
    <w:rsid w:val="606716E9"/>
    <w:rsid w:val="60747FDF"/>
    <w:rsid w:val="60846A51"/>
    <w:rsid w:val="609710F2"/>
    <w:rsid w:val="6098323A"/>
    <w:rsid w:val="60A70D89"/>
    <w:rsid w:val="60B8786E"/>
    <w:rsid w:val="60C7684C"/>
    <w:rsid w:val="60D335BD"/>
    <w:rsid w:val="60D478C0"/>
    <w:rsid w:val="61027890"/>
    <w:rsid w:val="61034748"/>
    <w:rsid w:val="610822F4"/>
    <w:rsid w:val="61094C1A"/>
    <w:rsid w:val="61161483"/>
    <w:rsid w:val="61301A0E"/>
    <w:rsid w:val="61310E4B"/>
    <w:rsid w:val="61406B7E"/>
    <w:rsid w:val="61447270"/>
    <w:rsid w:val="61476F62"/>
    <w:rsid w:val="614A5779"/>
    <w:rsid w:val="614B5992"/>
    <w:rsid w:val="614E325D"/>
    <w:rsid w:val="615077AF"/>
    <w:rsid w:val="61507DCC"/>
    <w:rsid w:val="615A65D2"/>
    <w:rsid w:val="61641B46"/>
    <w:rsid w:val="61893620"/>
    <w:rsid w:val="618B6825"/>
    <w:rsid w:val="618F5D5B"/>
    <w:rsid w:val="61924CC8"/>
    <w:rsid w:val="61A35703"/>
    <w:rsid w:val="61A54DA7"/>
    <w:rsid w:val="61AE69F7"/>
    <w:rsid w:val="61B61664"/>
    <w:rsid w:val="61B7562E"/>
    <w:rsid w:val="61B85D96"/>
    <w:rsid w:val="61D55FD0"/>
    <w:rsid w:val="61F1456A"/>
    <w:rsid w:val="62276F47"/>
    <w:rsid w:val="62297255"/>
    <w:rsid w:val="622B170B"/>
    <w:rsid w:val="622F5185"/>
    <w:rsid w:val="62307B5A"/>
    <w:rsid w:val="624338A1"/>
    <w:rsid w:val="62443544"/>
    <w:rsid w:val="62532BB6"/>
    <w:rsid w:val="625711E6"/>
    <w:rsid w:val="6262481C"/>
    <w:rsid w:val="6263723F"/>
    <w:rsid w:val="62791E09"/>
    <w:rsid w:val="627B58A7"/>
    <w:rsid w:val="62851214"/>
    <w:rsid w:val="628515AA"/>
    <w:rsid w:val="628A42B7"/>
    <w:rsid w:val="629B0B10"/>
    <w:rsid w:val="62A1668F"/>
    <w:rsid w:val="62A87C87"/>
    <w:rsid w:val="62A930C2"/>
    <w:rsid w:val="62B15E53"/>
    <w:rsid w:val="62BD050A"/>
    <w:rsid w:val="62C01A6A"/>
    <w:rsid w:val="62C14647"/>
    <w:rsid w:val="62C37C54"/>
    <w:rsid w:val="62C5719C"/>
    <w:rsid w:val="62D00506"/>
    <w:rsid w:val="62D873A6"/>
    <w:rsid w:val="62D94BF9"/>
    <w:rsid w:val="62DA0FDE"/>
    <w:rsid w:val="62E24561"/>
    <w:rsid w:val="62E45F60"/>
    <w:rsid w:val="62F50701"/>
    <w:rsid w:val="62F8247C"/>
    <w:rsid w:val="6302657F"/>
    <w:rsid w:val="63114852"/>
    <w:rsid w:val="63144FCA"/>
    <w:rsid w:val="6322308A"/>
    <w:rsid w:val="63321001"/>
    <w:rsid w:val="63380C58"/>
    <w:rsid w:val="63412D41"/>
    <w:rsid w:val="63575588"/>
    <w:rsid w:val="635A4BE4"/>
    <w:rsid w:val="63700B04"/>
    <w:rsid w:val="63706897"/>
    <w:rsid w:val="63757DCD"/>
    <w:rsid w:val="637709CE"/>
    <w:rsid w:val="6386080D"/>
    <w:rsid w:val="63865988"/>
    <w:rsid w:val="638A598A"/>
    <w:rsid w:val="63980ADA"/>
    <w:rsid w:val="639A14A7"/>
    <w:rsid w:val="63A23F8D"/>
    <w:rsid w:val="63B45E77"/>
    <w:rsid w:val="63B75DBD"/>
    <w:rsid w:val="63DB203C"/>
    <w:rsid w:val="63E45B93"/>
    <w:rsid w:val="63E509E7"/>
    <w:rsid w:val="63F60D39"/>
    <w:rsid w:val="63FF4674"/>
    <w:rsid w:val="63FF5EC3"/>
    <w:rsid w:val="6403317F"/>
    <w:rsid w:val="642202C7"/>
    <w:rsid w:val="64300071"/>
    <w:rsid w:val="64343F4C"/>
    <w:rsid w:val="643E1529"/>
    <w:rsid w:val="64420CDE"/>
    <w:rsid w:val="645134E5"/>
    <w:rsid w:val="647E66AA"/>
    <w:rsid w:val="647F28AA"/>
    <w:rsid w:val="64896B4F"/>
    <w:rsid w:val="64972102"/>
    <w:rsid w:val="64A32EF9"/>
    <w:rsid w:val="64A910C9"/>
    <w:rsid w:val="64B41A64"/>
    <w:rsid w:val="64BA2008"/>
    <w:rsid w:val="64C469DE"/>
    <w:rsid w:val="64C534EF"/>
    <w:rsid w:val="64CC4632"/>
    <w:rsid w:val="64D45DAB"/>
    <w:rsid w:val="64D7268D"/>
    <w:rsid w:val="64E40494"/>
    <w:rsid w:val="64EC7F34"/>
    <w:rsid w:val="64F35825"/>
    <w:rsid w:val="64FA6846"/>
    <w:rsid w:val="64FE0F70"/>
    <w:rsid w:val="650412DA"/>
    <w:rsid w:val="653B07A8"/>
    <w:rsid w:val="653B72FE"/>
    <w:rsid w:val="65415AE1"/>
    <w:rsid w:val="655D0C86"/>
    <w:rsid w:val="65607C85"/>
    <w:rsid w:val="656340B0"/>
    <w:rsid w:val="65694B19"/>
    <w:rsid w:val="656A1191"/>
    <w:rsid w:val="6577518B"/>
    <w:rsid w:val="6586199A"/>
    <w:rsid w:val="658C1049"/>
    <w:rsid w:val="659B7C58"/>
    <w:rsid w:val="659F42FC"/>
    <w:rsid w:val="65A73110"/>
    <w:rsid w:val="65A77AA5"/>
    <w:rsid w:val="65A859DA"/>
    <w:rsid w:val="65C23357"/>
    <w:rsid w:val="65F46D28"/>
    <w:rsid w:val="65F706A5"/>
    <w:rsid w:val="660A0802"/>
    <w:rsid w:val="662E58A7"/>
    <w:rsid w:val="663D19BA"/>
    <w:rsid w:val="663F0805"/>
    <w:rsid w:val="66401E41"/>
    <w:rsid w:val="664460D0"/>
    <w:rsid w:val="6646287A"/>
    <w:rsid w:val="664D4A34"/>
    <w:rsid w:val="665D5653"/>
    <w:rsid w:val="66722EA4"/>
    <w:rsid w:val="66727FC6"/>
    <w:rsid w:val="66796CA0"/>
    <w:rsid w:val="667B2318"/>
    <w:rsid w:val="669669B0"/>
    <w:rsid w:val="66BB13E7"/>
    <w:rsid w:val="66BF0725"/>
    <w:rsid w:val="66C35A81"/>
    <w:rsid w:val="66D44057"/>
    <w:rsid w:val="66D67856"/>
    <w:rsid w:val="66D734AD"/>
    <w:rsid w:val="66DD76EA"/>
    <w:rsid w:val="66E34A60"/>
    <w:rsid w:val="66EE04C2"/>
    <w:rsid w:val="66FA5DBA"/>
    <w:rsid w:val="66FB7883"/>
    <w:rsid w:val="6709764D"/>
    <w:rsid w:val="670C2B1F"/>
    <w:rsid w:val="671058D0"/>
    <w:rsid w:val="671904DC"/>
    <w:rsid w:val="671B493E"/>
    <w:rsid w:val="671C21C9"/>
    <w:rsid w:val="6726061F"/>
    <w:rsid w:val="67280E7B"/>
    <w:rsid w:val="67320800"/>
    <w:rsid w:val="67381C74"/>
    <w:rsid w:val="673E2B93"/>
    <w:rsid w:val="674109E6"/>
    <w:rsid w:val="675B6F7F"/>
    <w:rsid w:val="6764379F"/>
    <w:rsid w:val="67680D94"/>
    <w:rsid w:val="676A4A4F"/>
    <w:rsid w:val="677726AE"/>
    <w:rsid w:val="67C257B4"/>
    <w:rsid w:val="67C600BF"/>
    <w:rsid w:val="67CE2919"/>
    <w:rsid w:val="67E63CF9"/>
    <w:rsid w:val="67F718E4"/>
    <w:rsid w:val="67FB7585"/>
    <w:rsid w:val="68014F42"/>
    <w:rsid w:val="681903A3"/>
    <w:rsid w:val="6819426F"/>
    <w:rsid w:val="682A0501"/>
    <w:rsid w:val="68331434"/>
    <w:rsid w:val="6840064E"/>
    <w:rsid w:val="68491C9A"/>
    <w:rsid w:val="684A09DE"/>
    <w:rsid w:val="68517A82"/>
    <w:rsid w:val="685A280E"/>
    <w:rsid w:val="685B1B11"/>
    <w:rsid w:val="686D7785"/>
    <w:rsid w:val="687622FD"/>
    <w:rsid w:val="687D2CAC"/>
    <w:rsid w:val="68B62F29"/>
    <w:rsid w:val="68C17B81"/>
    <w:rsid w:val="68C351EF"/>
    <w:rsid w:val="68CA5CBA"/>
    <w:rsid w:val="68D95879"/>
    <w:rsid w:val="68DC6EE4"/>
    <w:rsid w:val="68E72FBB"/>
    <w:rsid w:val="68EE26EC"/>
    <w:rsid w:val="68F1367E"/>
    <w:rsid w:val="68FF216D"/>
    <w:rsid w:val="69012411"/>
    <w:rsid w:val="691C30E3"/>
    <w:rsid w:val="691D3F8F"/>
    <w:rsid w:val="69234D87"/>
    <w:rsid w:val="69283BE9"/>
    <w:rsid w:val="69311F36"/>
    <w:rsid w:val="694870A5"/>
    <w:rsid w:val="69534630"/>
    <w:rsid w:val="6966391F"/>
    <w:rsid w:val="69680942"/>
    <w:rsid w:val="696C2B11"/>
    <w:rsid w:val="696F4ACF"/>
    <w:rsid w:val="69846381"/>
    <w:rsid w:val="699B38AB"/>
    <w:rsid w:val="69A01F32"/>
    <w:rsid w:val="69AE2E32"/>
    <w:rsid w:val="69B8450E"/>
    <w:rsid w:val="69B862B5"/>
    <w:rsid w:val="69C478EE"/>
    <w:rsid w:val="69CE5A99"/>
    <w:rsid w:val="69D2052B"/>
    <w:rsid w:val="69DC2FDD"/>
    <w:rsid w:val="69DC3C0C"/>
    <w:rsid w:val="69E475C2"/>
    <w:rsid w:val="69E532A2"/>
    <w:rsid w:val="69E96D53"/>
    <w:rsid w:val="69F6701F"/>
    <w:rsid w:val="6A29072D"/>
    <w:rsid w:val="6A2C0FB2"/>
    <w:rsid w:val="6A334631"/>
    <w:rsid w:val="6A525305"/>
    <w:rsid w:val="6A5C1614"/>
    <w:rsid w:val="6A633518"/>
    <w:rsid w:val="6A727A85"/>
    <w:rsid w:val="6A7E030E"/>
    <w:rsid w:val="6A873897"/>
    <w:rsid w:val="6A9246F9"/>
    <w:rsid w:val="6A997F53"/>
    <w:rsid w:val="6AB85411"/>
    <w:rsid w:val="6AC1537D"/>
    <w:rsid w:val="6ACF08E2"/>
    <w:rsid w:val="6AD113F4"/>
    <w:rsid w:val="6AF96567"/>
    <w:rsid w:val="6B165466"/>
    <w:rsid w:val="6B1948DF"/>
    <w:rsid w:val="6B1F2453"/>
    <w:rsid w:val="6B204F15"/>
    <w:rsid w:val="6B292369"/>
    <w:rsid w:val="6B2B41E4"/>
    <w:rsid w:val="6B3D3BD8"/>
    <w:rsid w:val="6B4066AE"/>
    <w:rsid w:val="6B523C68"/>
    <w:rsid w:val="6B5F42B2"/>
    <w:rsid w:val="6B646BF3"/>
    <w:rsid w:val="6B646E8A"/>
    <w:rsid w:val="6B651DB3"/>
    <w:rsid w:val="6B754013"/>
    <w:rsid w:val="6B793BF8"/>
    <w:rsid w:val="6B824984"/>
    <w:rsid w:val="6B826877"/>
    <w:rsid w:val="6B8B4DC7"/>
    <w:rsid w:val="6B9777D4"/>
    <w:rsid w:val="6BB61AFF"/>
    <w:rsid w:val="6BBF6734"/>
    <w:rsid w:val="6BCF1673"/>
    <w:rsid w:val="6C070A1E"/>
    <w:rsid w:val="6C0B3BEF"/>
    <w:rsid w:val="6C0E7C6B"/>
    <w:rsid w:val="6C1C4B0B"/>
    <w:rsid w:val="6C2446E5"/>
    <w:rsid w:val="6C2F5D2A"/>
    <w:rsid w:val="6C5777F2"/>
    <w:rsid w:val="6C5B7704"/>
    <w:rsid w:val="6C5E390A"/>
    <w:rsid w:val="6C5F4480"/>
    <w:rsid w:val="6C734E92"/>
    <w:rsid w:val="6C833899"/>
    <w:rsid w:val="6C8A0520"/>
    <w:rsid w:val="6C9633B0"/>
    <w:rsid w:val="6CA7251D"/>
    <w:rsid w:val="6CAA106F"/>
    <w:rsid w:val="6CAB57EE"/>
    <w:rsid w:val="6CC75F84"/>
    <w:rsid w:val="6CD22B8E"/>
    <w:rsid w:val="6CD9512F"/>
    <w:rsid w:val="6CF15C9F"/>
    <w:rsid w:val="6D045ED7"/>
    <w:rsid w:val="6D12670E"/>
    <w:rsid w:val="6D191704"/>
    <w:rsid w:val="6D2F458C"/>
    <w:rsid w:val="6D426B30"/>
    <w:rsid w:val="6D43763F"/>
    <w:rsid w:val="6D45466C"/>
    <w:rsid w:val="6D4A7C7E"/>
    <w:rsid w:val="6D515FD9"/>
    <w:rsid w:val="6D5937DC"/>
    <w:rsid w:val="6D5F60AA"/>
    <w:rsid w:val="6D676466"/>
    <w:rsid w:val="6D8E19F3"/>
    <w:rsid w:val="6D96572F"/>
    <w:rsid w:val="6DA9110C"/>
    <w:rsid w:val="6DAC3491"/>
    <w:rsid w:val="6DAC725E"/>
    <w:rsid w:val="6DB303FF"/>
    <w:rsid w:val="6DB8413A"/>
    <w:rsid w:val="6DC90B6C"/>
    <w:rsid w:val="6DD20423"/>
    <w:rsid w:val="6DD63C84"/>
    <w:rsid w:val="6DD700E3"/>
    <w:rsid w:val="6DDB2BE8"/>
    <w:rsid w:val="6DDE13CF"/>
    <w:rsid w:val="6DE874D7"/>
    <w:rsid w:val="6DEC7708"/>
    <w:rsid w:val="6DEF5BC5"/>
    <w:rsid w:val="6DF27B94"/>
    <w:rsid w:val="6E044944"/>
    <w:rsid w:val="6E067F10"/>
    <w:rsid w:val="6E082BD6"/>
    <w:rsid w:val="6E206733"/>
    <w:rsid w:val="6E227062"/>
    <w:rsid w:val="6E261AD4"/>
    <w:rsid w:val="6E3052EB"/>
    <w:rsid w:val="6E3E52FB"/>
    <w:rsid w:val="6E4C06B9"/>
    <w:rsid w:val="6E567931"/>
    <w:rsid w:val="6E571A4B"/>
    <w:rsid w:val="6E5D0010"/>
    <w:rsid w:val="6E6552A5"/>
    <w:rsid w:val="6E6557C5"/>
    <w:rsid w:val="6E6D1A78"/>
    <w:rsid w:val="6E73578D"/>
    <w:rsid w:val="6E7F411E"/>
    <w:rsid w:val="6E8605D4"/>
    <w:rsid w:val="6E881EB8"/>
    <w:rsid w:val="6E8C204B"/>
    <w:rsid w:val="6E9443E0"/>
    <w:rsid w:val="6E980631"/>
    <w:rsid w:val="6E987A9B"/>
    <w:rsid w:val="6EAC30BB"/>
    <w:rsid w:val="6EB853D8"/>
    <w:rsid w:val="6EBC1779"/>
    <w:rsid w:val="6EC76BC4"/>
    <w:rsid w:val="6ED337AC"/>
    <w:rsid w:val="6EED1CBE"/>
    <w:rsid w:val="6EF076BC"/>
    <w:rsid w:val="6F012A3B"/>
    <w:rsid w:val="6F085586"/>
    <w:rsid w:val="6F1236D5"/>
    <w:rsid w:val="6F1A2EFB"/>
    <w:rsid w:val="6F266789"/>
    <w:rsid w:val="6F2E1BD6"/>
    <w:rsid w:val="6F322863"/>
    <w:rsid w:val="6F3966FE"/>
    <w:rsid w:val="6F39754D"/>
    <w:rsid w:val="6F3F3E44"/>
    <w:rsid w:val="6F427A28"/>
    <w:rsid w:val="6F465046"/>
    <w:rsid w:val="6F49073D"/>
    <w:rsid w:val="6F4A7791"/>
    <w:rsid w:val="6F630F63"/>
    <w:rsid w:val="6F6C4ABF"/>
    <w:rsid w:val="6F8C6D55"/>
    <w:rsid w:val="6F946E74"/>
    <w:rsid w:val="6F9E0DEF"/>
    <w:rsid w:val="6FA45EAE"/>
    <w:rsid w:val="6FA65F5F"/>
    <w:rsid w:val="6FB44155"/>
    <w:rsid w:val="6FBB2EE8"/>
    <w:rsid w:val="6FC443A9"/>
    <w:rsid w:val="6FC9776C"/>
    <w:rsid w:val="6FDB7AB7"/>
    <w:rsid w:val="6FE20010"/>
    <w:rsid w:val="6FF31232"/>
    <w:rsid w:val="70004A51"/>
    <w:rsid w:val="700141AA"/>
    <w:rsid w:val="7004159B"/>
    <w:rsid w:val="700E37A5"/>
    <w:rsid w:val="700F26F1"/>
    <w:rsid w:val="701359B3"/>
    <w:rsid w:val="70294D2A"/>
    <w:rsid w:val="702D2452"/>
    <w:rsid w:val="70402F44"/>
    <w:rsid w:val="705D2EA3"/>
    <w:rsid w:val="70611AD9"/>
    <w:rsid w:val="70624322"/>
    <w:rsid w:val="706D6891"/>
    <w:rsid w:val="70780B8E"/>
    <w:rsid w:val="7096004C"/>
    <w:rsid w:val="70A43D1F"/>
    <w:rsid w:val="70B22796"/>
    <w:rsid w:val="70B232BE"/>
    <w:rsid w:val="70B25AC3"/>
    <w:rsid w:val="70B40F57"/>
    <w:rsid w:val="70BD1D11"/>
    <w:rsid w:val="70E204F3"/>
    <w:rsid w:val="70E641BA"/>
    <w:rsid w:val="70ED0EE3"/>
    <w:rsid w:val="70F55BEC"/>
    <w:rsid w:val="710A17ED"/>
    <w:rsid w:val="711C5463"/>
    <w:rsid w:val="712017BB"/>
    <w:rsid w:val="71287323"/>
    <w:rsid w:val="713215F2"/>
    <w:rsid w:val="713627D4"/>
    <w:rsid w:val="7149142F"/>
    <w:rsid w:val="71504D65"/>
    <w:rsid w:val="71793E56"/>
    <w:rsid w:val="71794933"/>
    <w:rsid w:val="718218E3"/>
    <w:rsid w:val="71870CF6"/>
    <w:rsid w:val="718C14B4"/>
    <w:rsid w:val="719419A1"/>
    <w:rsid w:val="719A33F2"/>
    <w:rsid w:val="719D04B5"/>
    <w:rsid w:val="71A738C0"/>
    <w:rsid w:val="71B3536E"/>
    <w:rsid w:val="71B54F00"/>
    <w:rsid w:val="71BA4754"/>
    <w:rsid w:val="71C62BD7"/>
    <w:rsid w:val="71D235CD"/>
    <w:rsid w:val="71FA14C9"/>
    <w:rsid w:val="720141EE"/>
    <w:rsid w:val="7202216B"/>
    <w:rsid w:val="72037286"/>
    <w:rsid w:val="720710D4"/>
    <w:rsid w:val="72165AAF"/>
    <w:rsid w:val="721A4F7E"/>
    <w:rsid w:val="722252E0"/>
    <w:rsid w:val="722D36A8"/>
    <w:rsid w:val="72463D11"/>
    <w:rsid w:val="724B48CF"/>
    <w:rsid w:val="724E216A"/>
    <w:rsid w:val="72526934"/>
    <w:rsid w:val="725670FE"/>
    <w:rsid w:val="72677933"/>
    <w:rsid w:val="728C45B9"/>
    <w:rsid w:val="72972C74"/>
    <w:rsid w:val="72A525B4"/>
    <w:rsid w:val="72A63CF5"/>
    <w:rsid w:val="72A70495"/>
    <w:rsid w:val="72A82270"/>
    <w:rsid w:val="72A974CC"/>
    <w:rsid w:val="72B00A8C"/>
    <w:rsid w:val="72B51479"/>
    <w:rsid w:val="72B96735"/>
    <w:rsid w:val="72C1240F"/>
    <w:rsid w:val="72C27E16"/>
    <w:rsid w:val="72E53DBF"/>
    <w:rsid w:val="72EC4E94"/>
    <w:rsid w:val="72F014EF"/>
    <w:rsid w:val="72F85D83"/>
    <w:rsid w:val="73017DA2"/>
    <w:rsid w:val="73043ED1"/>
    <w:rsid w:val="730A02BA"/>
    <w:rsid w:val="73180807"/>
    <w:rsid w:val="731F0F34"/>
    <w:rsid w:val="732336E9"/>
    <w:rsid w:val="733212A6"/>
    <w:rsid w:val="734D1B8E"/>
    <w:rsid w:val="734D3839"/>
    <w:rsid w:val="73541F1D"/>
    <w:rsid w:val="736C6FF8"/>
    <w:rsid w:val="738D6F6E"/>
    <w:rsid w:val="739066A4"/>
    <w:rsid w:val="739230D8"/>
    <w:rsid w:val="739470AE"/>
    <w:rsid w:val="739A458C"/>
    <w:rsid w:val="73A02B7E"/>
    <w:rsid w:val="73A30D17"/>
    <w:rsid w:val="73A90590"/>
    <w:rsid w:val="73AF372A"/>
    <w:rsid w:val="73B44C15"/>
    <w:rsid w:val="73C67DDD"/>
    <w:rsid w:val="73CA6F57"/>
    <w:rsid w:val="73CE350E"/>
    <w:rsid w:val="73D01F0E"/>
    <w:rsid w:val="73D576F9"/>
    <w:rsid w:val="73E2077C"/>
    <w:rsid w:val="73F85E28"/>
    <w:rsid w:val="73FD6EC2"/>
    <w:rsid w:val="742223C5"/>
    <w:rsid w:val="74284F7D"/>
    <w:rsid w:val="742C02AF"/>
    <w:rsid w:val="74307BD9"/>
    <w:rsid w:val="74357BC4"/>
    <w:rsid w:val="74374088"/>
    <w:rsid w:val="745461FE"/>
    <w:rsid w:val="745A44EA"/>
    <w:rsid w:val="746A4297"/>
    <w:rsid w:val="747143D9"/>
    <w:rsid w:val="74741754"/>
    <w:rsid w:val="74744B59"/>
    <w:rsid w:val="74744E9A"/>
    <w:rsid w:val="74791B2E"/>
    <w:rsid w:val="748A6623"/>
    <w:rsid w:val="748F5E9E"/>
    <w:rsid w:val="74A15F5B"/>
    <w:rsid w:val="74AF17DF"/>
    <w:rsid w:val="74B840D8"/>
    <w:rsid w:val="74D22941"/>
    <w:rsid w:val="74EC2557"/>
    <w:rsid w:val="74ED4323"/>
    <w:rsid w:val="74F306BA"/>
    <w:rsid w:val="74F502EB"/>
    <w:rsid w:val="75045039"/>
    <w:rsid w:val="7525610E"/>
    <w:rsid w:val="75361D30"/>
    <w:rsid w:val="754E1501"/>
    <w:rsid w:val="755E7AB9"/>
    <w:rsid w:val="756A37AA"/>
    <w:rsid w:val="75757E81"/>
    <w:rsid w:val="757741AE"/>
    <w:rsid w:val="75993E1E"/>
    <w:rsid w:val="75CC42B6"/>
    <w:rsid w:val="75D36B4D"/>
    <w:rsid w:val="75E33241"/>
    <w:rsid w:val="75E42F42"/>
    <w:rsid w:val="75F267FD"/>
    <w:rsid w:val="76035534"/>
    <w:rsid w:val="760B5575"/>
    <w:rsid w:val="761561AD"/>
    <w:rsid w:val="761B7A56"/>
    <w:rsid w:val="762F660F"/>
    <w:rsid w:val="7633362B"/>
    <w:rsid w:val="763905B7"/>
    <w:rsid w:val="763D1D1A"/>
    <w:rsid w:val="763F52F9"/>
    <w:rsid w:val="764A076A"/>
    <w:rsid w:val="765039E4"/>
    <w:rsid w:val="765E032A"/>
    <w:rsid w:val="76612BAE"/>
    <w:rsid w:val="76662FA9"/>
    <w:rsid w:val="76675694"/>
    <w:rsid w:val="76681936"/>
    <w:rsid w:val="76694380"/>
    <w:rsid w:val="766C33EC"/>
    <w:rsid w:val="7680469C"/>
    <w:rsid w:val="76850D30"/>
    <w:rsid w:val="7685786E"/>
    <w:rsid w:val="76880AF2"/>
    <w:rsid w:val="76924861"/>
    <w:rsid w:val="76926539"/>
    <w:rsid w:val="769C0542"/>
    <w:rsid w:val="76A46DD9"/>
    <w:rsid w:val="76A9024D"/>
    <w:rsid w:val="76AB2E09"/>
    <w:rsid w:val="76B130D9"/>
    <w:rsid w:val="76B76096"/>
    <w:rsid w:val="76BE605E"/>
    <w:rsid w:val="76C0361B"/>
    <w:rsid w:val="76C305E9"/>
    <w:rsid w:val="76C424A7"/>
    <w:rsid w:val="76D1673E"/>
    <w:rsid w:val="76E31B33"/>
    <w:rsid w:val="76F66BBC"/>
    <w:rsid w:val="76F73CF6"/>
    <w:rsid w:val="76FB4955"/>
    <w:rsid w:val="7708362D"/>
    <w:rsid w:val="770D713C"/>
    <w:rsid w:val="77197A96"/>
    <w:rsid w:val="772B2CA9"/>
    <w:rsid w:val="774C15D8"/>
    <w:rsid w:val="77527E18"/>
    <w:rsid w:val="7754065F"/>
    <w:rsid w:val="77551914"/>
    <w:rsid w:val="77583F5D"/>
    <w:rsid w:val="775B56A8"/>
    <w:rsid w:val="776351E0"/>
    <w:rsid w:val="777029A3"/>
    <w:rsid w:val="77756E85"/>
    <w:rsid w:val="777A5B26"/>
    <w:rsid w:val="77904525"/>
    <w:rsid w:val="779F2CED"/>
    <w:rsid w:val="77A07C44"/>
    <w:rsid w:val="77A57C95"/>
    <w:rsid w:val="77A654DB"/>
    <w:rsid w:val="77BB6FCA"/>
    <w:rsid w:val="77BD710B"/>
    <w:rsid w:val="77DC5FEF"/>
    <w:rsid w:val="77E322C1"/>
    <w:rsid w:val="77EE6B4E"/>
    <w:rsid w:val="77F62AA7"/>
    <w:rsid w:val="78183BE8"/>
    <w:rsid w:val="781D7828"/>
    <w:rsid w:val="782A17D9"/>
    <w:rsid w:val="782F3994"/>
    <w:rsid w:val="78304B7A"/>
    <w:rsid w:val="783D05E2"/>
    <w:rsid w:val="783D0721"/>
    <w:rsid w:val="784D0CFC"/>
    <w:rsid w:val="785A3B34"/>
    <w:rsid w:val="785E714C"/>
    <w:rsid w:val="786307D7"/>
    <w:rsid w:val="78647CD9"/>
    <w:rsid w:val="787122B9"/>
    <w:rsid w:val="78844FB3"/>
    <w:rsid w:val="788D13D1"/>
    <w:rsid w:val="789232DC"/>
    <w:rsid w:val="78961FE8"/>
    <w:rsid w:val="789943F1"/>
    <w:rsid w:val="789B19D2"/>
    <w:rsid w:val="78A31F7D"/>
    <w:rsid w:val="78AB4558"/>
    <w:rsid w:val="78B56E68"/>
    <w:rsid w:val="78BB577A"/>
    <w:rsid w:val="78E056D6"/>
    <w:rsid w:val="78EB4408"/>
    <w:rsid w:val="7903144D"/>
    <w:rsid w:val="790B102B"/>
    <w:rsid w:val="79161115"/>
    <w:rsid w:val="79245802"/>
    <w:rsid w:val="7925710A"/>
    <w:rsid w:val="792D1A1F"/>
    <w:rsid w:val="792F140A"/>
    <w:rsid w:val="793351FB"/>
    <w:rsid w:val="79440948"/>
    <w:rsid w:val="79464A07"/>
    <w:rsid w:val="794A6959"/>
    <w:rsid w:val="795F319F"/>
    <w:rsid w:val="79624DD9"/>
    <w:rsid w:val="796E026B"/>
    <w:rsid w:val="79745332"/>
    <w:rsid w:val="798158D3"/>
    <w:rsid w:val="79844269"/>
    <w:rsid w:val="79913B5E"/>
    <w:rsid w:val="79A52D36"/>
    <w:rsid w:val="79A748D6"/>
    <w:rsid w:val="79AE2E94"/>
    <w:rsid w:val="79B51619"/>
    <w:rsid w:val="79C42C15"/>
    <w:rsid w:val="79D65886"/>
    <w:rsid w:val="79FA2622"/>
    <w:rsid w:val="79FC1240"/>
    <w:rsid w:val="7A0C61AD"/>
    <w:rsid w:val="7A144E76"/>
    <w:rsid w:val="7A3B2CA6"/>
    <w:rsid w:val="7A3E3343"/>
    <w:rsid w:val="7A4727DA"/>
    <w:rsid w:val="7A577346"/>
    <w:rsid w:val="7A5A25F5"/>
    <w:rsid w:val="7A630A71"/>
    <w:rsid w:val="7A6B73D0"/>
    <w:rsid w:val="7A847D1C"/>
    <w:rsid w:val="7A8A7B66"/>
    <w:rsid w:val="7A997967"/>
    <w:rsid w:val="7A9C2A58"/>
    <w:rsid w:val="7A9D3A2F"/>
    <w:rsid w:val="7AA10993"/>
    <w:rsid w:val="7AA111E2"/>
    <w:rsid w:val="7AA5720A"/>
    <w:rsid w:val="7AA653ED"/>
    <w:rsid w:val="7AA72857"/>
    <w:rsid w:val="7AB65897"/>
    <w:rsid w:val="7AB77647"/>
    <w:rsid w:val="7AB80DE5"/>
    <w:rsid w:val="7ABC2C92"/>
    <w:rsid w:val="7ABF6827"/>
    <w:rsid w:val="7ACC6CA1"/>
    <w:rsid w:val="7ADB1606"/>
    <w:rsid w:val="7ADE7E7C"/>
    <w:rsid w:val="7AE75658"/>
    <w:rsid w:val="7AEF17B2"/>
    <w:rsid w:val="7AF06E79"/>
    <w:rsid w:val="7AFE1B3F"/>
    <w:rsid w:val="7B121B16"/>
    <w:rsid w:val="7B182A94"/>
    <w:rsid w:val="7B25195E"/>
    <w:rsid w:val="7B2D435B"/>
    <w:rsid w:val="7B384673"/>
    <w:rsid w:val="7B4A06A2"/>
    <w:rsid w:val="7B4B03A6"/>
    <w:rsid w:val="7B4C4611"/>
    <w:rsid w:val="7B5213D6"/>
    <w:rsid w:val="7B5C2736"/>
    <w:rsid w:val="7B631EA6"/>
    <w:rsid w:val="7B6444E6"/>
    <w:rsid w:val="7B673289"/>
    <w:rsid w:val="7B685227"/>
    <w:rsid w:val="7B6C4FD9"/>
    <w:rsid w:val="7B6F7CEB"/>
    <w:rsid w:val="7B8A337B"/>
    <w:rsid w:val="7B9B1105"/>
    <w:rsid w:val="7BA4312A"/>
    <w:rsid w:val="7BB26EDD"/>
    <w:rsid w:val="7BB515CE"/>
    <w:rsid w:val="7BB57A2B"/>
    <w:rsid w:val="7BBD4457"/>
    <w:rsid w:val="7BBD4C2D"/>
    <w:rsid w:val="7BC17277"/>
    <w:rsid w:val="7BC2086C"/>
    <w:rsid w:val="7BC813A2"/>
    <w:rsid w:val="7BD54ED0"/>
    <w:rsid w:val="7BE17B37"/>
    <w:rsid w:val="7BE95C09"/>
    <w:rsid w:val="7BFA1EB1"/>
    <w:rsid w:val="7C0266AC"/>
    <w:rsid w:val="7C026E80"/>
    <w:rsid w:val="7C046C6E"/>
    <w:rsid w:val="7C0D4A86"/>
    <w:rsid w:val="7C0F1EC3"/>
    <w:rsid w:val="7C112B46"/>
    <w:rsid w:val="7C1177CB"/>
    <w:rsid w:val="7C1537DD"/>
    <w:rsid w:val="7C1F4632"/>
    <w:rsid w:val="7C224F2A"/>
    <w:rsid w:val="7C2D0EBD"/>
    <w:rsid w:val="7C3F7FB9"/>
    <w:rsid w:val="7C445DC2"/>
    <w:rsid w:val="7C520502"/>
    <w:rsid w:val="7C5527AE"/>
    <w:rsid w:val="7C5541DC"/>
    <w:rsid w:val="7C617286"/>
    <w:rsid w:val="7C6564AA"/>
    <w:rsid w:val="7C6813BF"/>
    <w:rsid w:val="7C706925"/>
    <w:rsid w:val="7C807FD0"/>
    <w:rsid w:val="7C8C2B7F"/>
    <w:rsid w:val="7C8F05CA"/>
    <w:rsid w:val="7C8F611C"/>
    <w:rsid w:val="7C932189"/>
    <w:rsid w:val="7C9629BC"/>
    <w:rsid w:val="7C9C5E9A"/>
    <w:rsid w:val="7CA07AE4"/>
    <w:rsid w:val="7CA9363C"/>
    <w:rsid w:val="7CB23D5A"/>
    <w:rsid w:val="7CD0627A"/>
    <w:rsid w:val="7CD905FC"/>
    <w:rsid w:val="7CDF4783"/>
    <w:rsid w:val="7CE21926"/>
    <w:rsid w:val="7CEC58BB"/>
    <w:rsid w:val="7CF11C68"/>
    <w:rsid w:val="7CF177DE"/>
    <w:rsid w:val="7CF92F7C"/>
    <w:rsid w:val="7D021B55"/>
    <w:rsid w:val="7D1A35D2"/>
    <w:rsid w:val="7D207CB8"/>
    <w:rsid w:val="7D264828"/>
    <w:rsid w:val="7D355074"/>
    <w:rsid w:val="7D450B99"/>
    <w:rsid w:val="7D511D97"/>
    <w:rsid w:val="7D5559CF"/>
    <w:rsid w:val="7D594414"/>
    <w:rsid w:val="7D5A367C"/>
    <w:rsid w:val="7D5C2A4D"/>
    <w:rsid w:val="7D600DAB"/>
    <w:rsid w:val="7D602E6F"/>
    <w:rsid w:val="7D657058"/>
    <w:rsid w:val="7D714B3C"/>
    <w:rsid w:val="7D7D0FB2"/>
    <w:rsid w:val="7D7D294D"/>
    <w:rsid w:val="7D8B224B"/>
    <w:rsid w:val="7D8C7E87"/>
    <w:rsid w:val="7D900AED"/>
    <w:rsid w:val="7D9235CF"/>
    <w:rsid w:val="7D9B7966"/>
    <w:rsid w:val="7D9C3A64"/>
    <w:rsid w:val="7DB4158F"/>
    <w:rsid w:val="7DB44F72"/>
    <w:rsid w:val="7DE23CAF"/>
    <w:rsid w:val="7DEA3712"/>
    <w:rsid w:val="7DEB080B"/>
    <w:rsid w:val="7DED7697"/>
    <w:rsid w:val="7DF51B73"/>
    <w:rsid w:val="7E2464B4"/>
    <w:rsid w:val="7E2F156D"/>
    <w:rsid w:val="7E453F4D"/>
    <w:rsid w:val="7E4A37A7"/>
    <w:rsid w:val="7E4C6EFC"/>
    <w:rsid w:val="7E64230F"/>
    <w:rsid w:val="7E6D5B74"/>
    <w:rsid w:val="7E755DC4"/>
    <w:rsid w:val="7E7C350E"/>
    <w:rsid w:val="7E7D1036"/>
    <w:rsid w:val="7E801D4A"/>
    <w:rsid w:val="7E845AED"/>
    <w:rsid w:val="7E853351"/>
    <w:rsid w:val="7E882439"/>
    <w:rsid w:val="7E8A157A"/>
    <w:rsid w:val="7E8E1BA1"/>
    <w:rsid w:val="7EBE4B77"/>
    <w:rsid w:val="7EC36906"/>
    <w:rsid w:val="7EC650CF"/>
    <w:rsid w:val="7ECD0E6C"/>
    <w:rsid w:val="7EE734DB"/>
    <w:rsid w:val="7EED2441"/>
    <w:rsid w:val="7EF55A71"/>
    <w:rsid w:val="7EFB7C61"/>
    <w:rsid w:val="7F000FCD"/>
    <w:rsid w:val="7F01306C"/>
    <w:rsid w:val="7F034041"/>
    <w:rsid w:val="7F0E70A5"/>
    <w:rsid w:val="7F1A61E7"/>
    <w:rsid w:val="7F2A1151"/>
    <w:rsid w:val="7F30734C"/>
    <w:rsid w:val="7F3231F2"/>
    <w:rsid w:val="7F360575"/>
    <w:rsid w:val="7F4243EC"/>
    <w:rsid w:val="7F4E0328"/>
    <w:rsid w:val="7F4E1186"/>
    <w:rsid w:val="7F5276B4"/>
    <w:rsid w:val="7F6162DB"/>
    <w:rsid w:val="7F6B2AC3"/>
    <w:rsid w:val="7F811AA8"/>
    <w:rsid w:val="7F9E2CFE"/>
    <w:rsid w:val="7FA75009"/>
    <w:rsid w:val="7FCC001B"/>
    <w:rsid w:val="7FCD5B31"/>
    <w:rsid w:val="7FCF11B0"/>
    <w:rsid w:val="7FD5733B"/>
    <w:rsid w:val="7FE74F7A"/>
    <w:rsid w:val="7FF95C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nhideWhenUsed="0" w:uiPriority="0" w:semiHidden="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name="page number"/>
    <w:lsdException w:uiPriority="0" w:name="endnote reference"/>
    <w:lsdException w:uiPriority="0" w:name="endnote text"/>
    <w:lsdException w:unhideWhenUsed="0" w:uiPriority="0" w:name="table of authorities"/>
    <w:lsdException w:uiPriority="0" w:name="macro"/>
    <w:lsdException w:uiPriority="0" w:name="toa heading"/>
    <w:lsdException w:qFormat="1" w:unhideWhenUsed="0" w:uiPriority="0" w:name="List"/>
    <w:lsdException w:qFormat="1" w:unhideWhenUsed="0" w:uiPriority="0" w:semiHidden="0" w:name="List Bullet"/>
    <w:lsdException w:uiPriority="0" w:name="List Number"/>
    <w:lsdException w:qFormat="1"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name="Body Text"/>
    <w:lsdException w:qFormat="1" w:uiPriority="0" w:name="Body Text Indent"/>
    <w:lsdException w:uiPriority="0" w:name="List Continue"/>
    <w:lsdException w:unhideWhenUsed="0" w:uiPriority="0" w:name="List Continue 2"/>
    <w:lsdException w:unhideWhenUsed="0" w:uiPriority="0" w:name="List Continue 3"/>
    <w:lsdException w:unhideWhenUsed="0" w:uiPriority="0" w:name="List Continue 4"/>
    <w:lsdException w:unhideWhenUsed="0"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uiPriority="0" w:name="Body Text 2"/>
    <w:lsdException w:uiPriority="0" w:name="Body Text 3"/>
    <w:lsdException w:qFormat="1" w:unhideWhenUsed="0" w:uiPriority="0" w:semiHidden="0" w:name="Body Text Indent 2"/>
    <w:lsdException w:uiPriority="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7">
    <w:name w:val="heading 1"/>
    <w:basedOn w:val="1"/>
    <w:next w:val="1"/>
    <w:link w:val="57"/>
    <w:qFormat/>
    <w:uiPriority w:val="0"/>
    <w:pPr>
      <w:keepNext/>
      <w:keepLines/>
      <w:widowControl/>
      <w:ind w:firstLine="0" w:firstLineChars="0"/>
      <w:jc w:val="left"/>
      <w:outlineLvl w:val="0"/>
    </w:pPr>
    <w:rPr>
      <w:rFonts w:eastAsia="黑体"/>
      <w:b/>
      <w:bCs/>
      <w:kern w:val="44"/>
      <w:sz w:val="44"/>
      <w:szCs w:val="44"/>
    </w:rPr>
  </w:style>
  <w:style w:type="paragraph" w:styleId="8">
    <w:name w:val="heading 2"/>
    <w:basedOn w:val="1"/>
    <w:next w:val="1"/>
    <w:link w:val="61"/>
    <w:qFormat/>
    <w:uiPriority w:val="0"/>
    <w:pPr>
      <w:keepNext/>
      <w:keepLines/>
      <w:ind w:firstLine="0" w:firstLineChars="0"/>
      <w:outlineLvl w:val="1"/>
    </w:pPr>
    <w:rPr>
      <w:rFonts w:eastAsia="黑体"/>
      <w:b/>
      <w:bCs/>
      <w:color w:val="000000"/>
      <w:sz w:val="32"/>
    </w:rPr>
  </w:style>
  <w:style w:type="paragraph" w:styleId="9">
    <w:name w:val="heading 3"/>
    <w:basedOn w:val="1"/>
    <w:next w:val="1"/>
    <w:link w:val="62"/>
    <w:qFormat/>
    <w:uiPriority w:val="0"/>
    <w:pPr>
      <w:keepNext/>
      <w:keepLines/>
      <w:ind w:firstLine="0" w:firstLineChars="0"/>
      <w:outlineLvl w:val="2"/>
    </w:pPr>
    <w:rPr>
      <w:b/>
      <w:bCs/>
      <w:sz w:val="28"/>
      <w:szCs w:val="32"/>
    </w:rPr>
  </w:style>
  <w:style w:type="paragraph" w:styleId="10">
    <w:name w:val="heading 4"/>
    <w:basedOn w:val="1"/>
    <w:next w:val="1"/>
    <w:link w:val="63"/>
    <w:qFormat/>
    <w:uiPriority w:val="0"/>
    <w:pPr>
      <w:keepNext/>
      <w:keepLines/>
      <w:ind w:firstLine="0" w:firstLineChars="0"/>
      <w:outlineLvl w:val="3"/>
    </w:pPr>
    <w:rPr>
      <w:b/>
      <w:bCs/>
    </w:rPr>
  </w:style>
  <w:style w:type="paragraph" w:styleId="11">
    <w:name w:val="heading 5"/>
    <w:basedOn w:val="1"/>
    <w:next w:val="1"/>
    <w:link w:val="64"/>
    <w:qFormat/>
    <w:uiPriority w:val="0"/>
    <w:pPr>
      <w:keepNext/>
      <w:keepLines/>
      <w:spacing w:before="10" w:after="10"/>
      <w:outlineLvl w:val="4"/>
    </w:pPr>
    <w:rPr>
      <w:bCs/>
      <w:szCs w:val="28"/>
    </w:rPr>
  </w:style>
  <w:style w:type="paragraph" w:styleId="12">
    <w:name w:val="heading 6"/>
    <w:basedOn w:val="1"/>
    <w:next w:val="1"/>
    <w:link w:val="65"/>
    <w:qFormat/>
    <w:uiPriority w:val="0"/>
    <w:pPr>
      <w:keepNext/>
      <w:keepLines/>
      <w:tabs>
        <w:tab w:val="left" w:pos="1152"/>
      </w:tabs>
      <w:spacing w:before="240" w:after="64" w:line="320" w:lineRule="auto"/>
      <w:ind w:left="1152" w:hanging="1152"/>
      <w:outlineLvl w:val="5"/>
    </w:pPr>
    <w:rPr>
      <w:rFonts w:ascii="Arial" w:hAnsi="Arial" w:eastAsia="黑体"/>
      <w:b/>
      <w:bCs/>
    </w:rPr>
  </w:style>
  <w:style w:type="paragraph" w:styleId="13">
    <w:name w:val="heading 7"/>
    <w:basedOn w:val="1"/>
    <w:next w:val="1"/>
    <w:link w:val="66"/>
    <w:qFormat/>
    <w:uiPriority w:val="0"/>
    <w:pPr>
      <w:keepNext/>
      <w:keepLines/>
      <w:tabs>
        <w:tab w:val="left" w:pos="1296"/>
      </w:tabs>
      <w:spacing w:before="240" w:after="64" w:line="320" w:lineRule="auto"/>
      <w:ind w:left="1296" w:hanging="1296"/>
      <w:outlineLvl w:val="6"/>
    </w:pPr>
    <w:rPr>
      <w:b/>
      <w:bCs/>
    </w:rPr>
  </w:style>
  <w:style w:type="paragraph" w:styleId="14">
    <w:name w:val="heading 8"/>
    <w:basedOn w:val="1"/>
    <w:next w:val="1"/>
    <w:link w:val="67"/>
    <w:qFormat/>
    <w:uiPriority w:val="0"/>
    <w:pPr>
      <w:keepNext/>
      <w:keepLines/>
      <w:tabs>
        <w:tab w:val="left" w:pos="1440"/>
      </w:tabs>
      <w:spacing w:before="240" w:after="64" w:line="320" w:lineRule="auto"/>
      <w:ind w:left="1440" w:hanging="1440"/>
      <w:outlineLvl w:val="7"/>
    </w:pPr>
    <w:rPr>
      <w:rFonts w:ascii="Arial" w:hAnsi="Arial" w:eastAsia="黑体"/>
    </w:rPr>
  </w:style>
  <w:style w:type="paragraph" w:styleId="15">
    <w:name w:val="heading 9"/>
    <w:basedOn w:val="1"/>
    <w:next w:val="1"/>
    <w:link w:val="68"/>
    <w:qFormat/>
    <w:uiPriority w:val="0"/>
    <w:pPr>
      <w:keepNext/>
      <w:keepLines/>
      <w:tabs>
        <w:tab w:val="left" w:pos="1584"/>
      </w:tabs>
      <w:spacing w:before="240" w:after="64" w:line="320" w:lineRule="auto"/>
      <w:ind w:left="1584" w:hanging="1584"/>
      <w:outlineLvl w:val="8"/>
    </w:pPr>
    <w:rPr>
      <w:rFonts w:ascii="Arial" w:hAnsi="Arial" w:eastAsia="黑体"/>
      <w:sz w:val="21"/>
      <w:szCs w:val="21"/>
    </w:rPr>
  </w:style>
  <w:style w:type="character" w:default="1" w:styleId="49">
    <w:name w:val="Default Paragraph Font"/>
    <w:semiHidden/>
    <w:unhideWhenUsed/>
    <w:uiPriority w:val="1"/>
  </w:style>
  <w:style w:type="table" w:default="1" w:styleId="46">
    <w:name w:val="Normal Table"/>
    <w:semiHidden/>
    <w:unhideWhenUsed/>
    <w:uiPriority w:val="99"/>
    <w:tblPr>
      <w:tblCellMar>
        <w:top w:w="0" w:type="dxa"/>
        <w:left w:w="108" w:type="dxa"/>
        <w:bottom w:w="0" w:type="dxa"/>
        <w:right w:w="108" w:type="dxa"/>
      </w:tblCellMar>
    </w:tblPr>
  </w:style>
  <w:style w:type="paragraph" w:styleId="2">
    <w:name w:val="Body Text Indent 2"/>
    <w:basedOn w:val="1"/>
    <w:next w:val="3"/>
    <w:link w:val="119"/>
    <w:qFormat/>
    <w:uiPriority w:val="0"/>
    <w:pPr>
      <w:tabs>
        <w:tab w:val="left" w:pos="0"/>
      </w:tabs>
      <w:ind w:firstLine="480" w:firstLineChars="0"/>
    </w:pPr>
  </w:style>
  <w:style w:type="paragraph" w:styleId="3">
    <w:name w:val="Body Text First Indent"/>
    <w:basedOn w:val="4"/>
    <w:next w:val="6"/>
    <w:qFormat/>
    <w:uiPriority w:val="0"/>
    <w:pPr>
      <w:tabs>
        <w:tab w:val="left" w:pos="4425"/>
      </w:tabs>
      <w:spacing w:after="120"/>
      <w:ind w:firstLine="420" w:firstLineChars="100"/>
    </w:pPr>
    <w:rPr>
      <w:rFonts w:ascii="Calibri" w:hAnsi="Calibri"/>
      <w:sz w:val="21"/>
    </w:rPr>
  </w:style>
  <w:style w:type="paragraph" w:styleId="4">
    <w:name w:val="Body Text"/>
    <w:basedOn w:val="1"/>
    <w:next w:val="5"/>
    <w:semiHidden/>
    <w:qFormat/>
    <w:uiPriority w:val="0"/>
    <w:pPr>
      <w:tabs>
        <w:tab w:val="left" w:pos="4425"/>
      </w:tabs>
      <w:spacing w:line="340" w:lineRule="exact"/>
    </w:pPr>
    <w:rPr>
      <w:spacing w:val="-20"/>
      <w:sz w:val="28"/>
    </w:rPr>
  </w:style>
  <w:style w:type="paragraph" w:customStyle="1" w:styleId="5">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6">
    <w:name w:val="样式 正文首行缩进 + 首行缩进:  2 字符1"/>
    <w:qFormat/>
    <w:uiPriority w:val="0"/>
    <w:pPr>
      <w:widowControl w:val="0"/>
      <w:spacing w:line="360" w:lineRule="auto"/>
      <w:ind w:firstLine="480" w:firstLineChars="200"/>
      <w:jc w:val="both"/>
    </w:pPr>
    <w:rPr>
      <w:rFonts w:ascii="Calibri" w:hAnsi="Calibri" w:eastAsia="宋体" w:cs="Times New Roman"/>
      <w:kern w:val="2"/>
      <w:sz w:val="24"/>
      <w:szCs w:val="22"/>
      <w:lang w:val="en-US" w:eastAsia="zh-CN" w:bidi="ar-SA"/>
    </w:rPr>
  </w:style>
  <w:style w:type="paragraph" w:styleId="16">
    <w:name w:val="toc 7"/>
    <w:basedOn w:val="1"/>
    <w:next w:val="1"/>
    <w:unhideWhenUsed/>
    <w:qFormat/>
    <w:uiPriority w:val="39"/>
    <w:pPr>
      <w:spacing w:line="240" w:lineRule="auto"/>
      <w:ind w:left="2520" w:leftChars="1200"/>
    </w:pPr>
    <w:rPr>
      <w:rFonts w:ascii="Calibri" w:hAnsi="Calibri"/>
      <w:sz w:val="21"/>
      <w:szCs w:val="22"/>
    </w:rPr>
  </w:style>
  <w:style w:type="paragraph" w:styleId="17">
    <w:name w:val="Note Heading"/>
    <w:basedOn w:val="1"/>
    <w:next w:val="1"/>
    <w:qFormat/>
    <w:uiPriority w:val="0"/>
    <w:pPr>
      <w:jc w:val="center"/>
    </w:pPr>
    <w:rPr>
      <w:sz w:val="21"/>
    </w:rPr>
  </w:style>
  <w:style w:type="paragraph" w:styleId="18">
    <w:name w:val="Normal Indent"/>
    <w:basedOn w:val="1"/>
    <w:link w:val="128"/>
    <w:qFormat/>
    <w:uiPriority w:val="0"/>
    <w:pPr>
      <w:ind w:firstLine="420"/>
    </w:pPr>
    <w:rPr>
      <w:szCs w:val="20"/>
    </w:rPr>
  </w:style>
  <w:style w:type="paragraph" w:styleId="19">
    <w:name w:val="caption"/>
    <w:basedOn w:val="1"/>
    <w:next w:val="1"/>
    <w:link w:val="75"/>
    <w:qFormat/>
    <w:uiPriority w:val="0"/>
    <w:pPr>
      <w:spacing w:line="240" w:lineRule="auto"/>
      <w:jc w:val="center"/>
    </w:pPr>
    <w:rPr>
      <w:b/>
      <w:szCs w:val="20"/>
    </w:rPr>
  </w:style>
  <w:style w:type="paragraph" w:styleId="20">
    <w:name w:val="List Bullet"/>
    <w:basedOn w:val="1"/>
    <w:qFormat/>
    <w:uiPriority w:val="0"/>
    <w:pPr>
      <w:spacing w:line="240" w:lineRule="auto"/>
      <w:ind w:firstLine="0" w:firstLineChars="0"/>
    </w:pPr>
    <w:rPr>
      <w:bCs/>
      <w:sz w:val="22"/>
      <w:szCs w:val="20"/>
    </w:rPr>
  </w:style>
  <w:style w:type="paragraph" w:styleId="21">
    <w:name w:val="Document Map"/>
    <w:basedOn w:val="1"/>
    <w:link w:val="74"/>
    <w:semiHidden/>
    <w:qFormat/>
    <w:uiPriority w:val="0"/>
    <w:pPr>
      <w:shd w:val="clear" w:color="auto" w:fill="000080"/>
    </w:pPr>
  </w:style>
  <w:style w:type="paragraph" w:styleId="22">
    <w:name w:val="annotation text"/>
    <w:basedOn w:val="1"/>
    <w:link w:val="71"/>
    <w:qFormat/>
    <w:uiPriority w:val="0"/>
    <w:pPr>
      <w:spacing w:line="240" w:lineRule="auto"/>
    </w:pPr>
    <w:rPr>
      <w:rFonts w:ascii="Courier New" w:hAnsi="Courier New"/>
      <w:sz w:val="21"/>
    </w:rPr>
  </w:style>
  <w:style w:type="paragraph" w:styleId="23">
    <w:name w:val="Body Text Indent"/>
    <w:basedOn w:val="1"/>
    <w:link w:val="132"/>
    <w:semiHidden/>
    <w:unhideWhenUsed/>
    <w:qFormat/>
    <w:uiPriority w:val="0"/>
    <w:pPr>
      <w:spacing w:after="120"/>
      <w:ind w:left="420" w:leftChars="200"/>
    </w:pPr>
  </w:style>
  <w:style w:type="paragraph" w:styleId="24">
    <w:name w:val="List 2"/>
    <w:basedOn w:val="1"/>
    <w:semiHidden/>
    <w:unhideWhenUsed/>
    <w:qFormat/>
    <w:uiPriority w:val="0"/>
    <w:pPr>
      <w:ind w:left="100" w:leftChars="200" w:hanging="200" w:hangingChars="200"/>
      <w:contextualSpacing/>
    </w:pPr>
  </w:style>
  <w:style w:type="paragraph" w:styleId="25">
    <w:name w:val="Block Text"/>
    <w:basedOn w:val="1"/>
    <w:qFormat/>
    <w:uiPriority w:val="0"/>
    <w:pPr>
      <w:spacing w:line="260" w:lineRule="exact"/>
      <w:ind w:left="-74" w:right="-74"/>
    </w:pPr>
    <w:rPr>
      <w:sz w:val="18"/>
      <w:szCs w:val="21"/>
    </w:rPr>
  </w:style>
  <w:style w:type="paragraph" w:styleId="26">
    <w:name w:val="index 4"/>
    <w:basedOn w:val="1"/>
    <w:next w:val="1"/>
    <w:qFormat/>
    <w:uiPriority w:val="0"/>
    <w:pPr>
      <w:spacing w:line="240" w:lineRule="auto"/>
      <w:ind w:left="1260"/>
    </w:pPr>
    <w:rPr>
      <w:sz w:val="21"/>
      <w:szCs w:val="20"/>
    </w:rPr>
  </w:style>
  <w:style w:type="paragraph" w:styleId="27">
    <w:name w:val="toc 5"/>
    <w:basedOn w:val="1"/>
    <w:next w:val="1"/>
    <w:unhideWhenUsed/>
    <w:qFormat/>
    <w:uiPriority w:val="39"/>
    <w:pPr>
      <w:spacing w:line="240" w:lineRule="auto"/>
      <w:ind w:left="1680" w:leftChars="800"/>
    </w:pPr>
    <w:rPr>
      <w:rFonts w:ascii="Calibri" w:hAnsi="Calibri"/>
      <w:sz w:val="21"/>
      <w:szCs w:val="22"/>
    </w:rPr>
  </w:style>
  <w:style w:type="paragraph" w:styleId="28">
    <w:name w:val="toc 3"/>
    <w:basedOn w:val="1"/>
    <w:next w:val="1"/>
    <w:qFormat/>
    <w:uiPriority w:val="39"/>
    <w:pPr>
      <w:ind w:left="720" w:leftChars="300" w:firstLine="0" w:firstLineChars="0"/>
    </w:pPr>
    <w:rPr>
      <w:sz w:val="21"/>
    </w:rPr>
  </w:style>
  <w:style w:type="paragraph" w:styleId="29">
    <w:name w:val="Plain Text"/>
    <w:basedOn w:val="1"/>
    <w:link w:val="114"/>
    <w:qFormat/>
    <w:uiPriority w:val="0"/>
    <w:pPr>
      <w:spacing w:line="240" w:lineRule="auto"/>
      <w:ind w:firstLine="0" w:firstLineChars="0"/>
    </w:pPr>
    <w:rPr>
      <w:rFonts w:ascii="宋体" w:hAnsi="Courier New"/>
      <w:sz w:val="21"/>
      <w:szCs w:val="20"/>
    </w:rPr>
  </w:style>
  <w:style w:type="paragraph" w:styleId="30">
    <w:name w:val="toc 8"/>
    <w:basedOn w:val="1"/>
    <w:next w:val="1"/>
    <w:unhideWhenUsed/>
    <w:qFormat/>
    <w:uiPriority w:val="39"/>
    <w:pPr>
      <w:spacing w:line="240" w:lineRule="auto"/>
      <w:ind w:left="2940" w:leftChars="1400"/>
    </w:pPr>
    <w:rPr>
      <w:rFonts w:ascii="Calibri" w:hAnsi="Calibri"/>
      <w:sz w:val="21"/>
      <w:szCs w:val="22"/>
    </w:rPr>
  </w:style>
  <w:style w:type="paragraph" w:styleId="31">
    <w:name w:val="Date"/>
    <w:basedOn w:val="1"/>
    <w:next w:val="1"/>
    <w:link w:val="76"/>
    <w:qFormat/>
    <w:uiPriority w:val="0"/>
    <w:pPr>
      <w:ind w:left="100" w:leftChars="2500"/>
    </w:pPr>
  </w:style>
  <w:style w:type="paragraph" w:styleId="32">
    <w:name w:val="Balloon Text"/>
    <w:basedOn w:val="1"/>
    <w:link w:val="72"/>
    <w:semiHidden/>
    <w:qFormat/>
    <w:uiPriority w:val="0"/>
    <w:rPr>
      <w:sz w:val="18"/>
      <w:szCs w:val="18"/>
    </w:rPr>
  </w:style>
  <w:style w:type="paragraph" w:styleId="33">
    <w:name w:val="footer"/>
    <w:basedOn w:val="1"/>
    <w:next w:val="1"/>
    <w:link w:val="117"/>
    <w:unhideWhenUsed/>
    <w:qFormat/>
    <w:uiPriority w:val="0"/>
    <w:pPr>
      <w:tabs>
        <w:tab w:val="center" w:pos="4153"/>
        <w:tab w:val="right" w:pos="8306"/>
      </w:tabs>
      <w:spacing w:line="240" w:lineRule="auto"/>
      <w:jc w:val="left"/>
    </w:pPr>
    <w:rPr>
      <w:sz w:val="18"/>
      <w:szCs w:val="18"/>
    </w:rPr>
  </w:style>
  <w:style w:type="paragraph" w:styleId="34">
    <w:name w:val="header"/>
    <w:basedOn w:val="1"/>
    <w:link w:val="108"/>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35">
    <w:name w:val="toc 1"/>
    <w:basedOn w:val="1"/>
    <w:next w:val="1"/>
    <w:qFormat/>
    <w:uiPriority w:val="39"/>
    <w:pPr>
      <w:ind w:firstLine="0" w:firstLineChars="0"/>
    </w:pPr>
    <w:rPr>
      <w:b/>
      <w:sz w:val="20"/>
    </w:rPr>
  </w:style>
  <w:style w:type="paragraph" w:styleId="36">
    <w:name w:val="toc 4"/>
    <w:basedOn w:val="1"/>
    <w:next w:val="1"/>
    <w:unhideWhenUsed/>
    <w:qFormat/>
    <w:uiPriority w:val="39"/>
    <w:pPr>
      <w:spacing w:line="240" w:lineRule="auto"/>
      <w:ind w:left="1260" w:leftChars="600"/>
    </w:pPr>
    <w:rPr>
      <w:rFonts w:ascii="Calibri" w:hAnsi="Calibri"/>
      <w:sz w:val="21"/>
      <w:szCs w:val="22"/>
    </w:rPr>
  </w:style>
  <w:style w:type="paragraph" w:styleId="37">
    <w:name w:val="index heading"/>
    <w:basedOn w:val="1"/>
    <w:next w:val="38"/>
    <w:qFormat/>
    <w:uiPriority w:val="0"/>
    <w:pPr>
      <w:spacing w:line="240" w:lineRule="auto"/>
    </w:pPr>
    <w:rPr>
      <w:sz w:val="21"/>
    </w:rPr>
  </w:style>
  <w:style w:type="paragraph" w:styleId="38">
    <w:name w:val="index 1"/>
    <w:basedOn w:val="1"/>
    <w:next w:val="1"/>
    <w:semiHidden/>
    <w:qFormat/>
    <w:uiPriority w:val="0"/>
    <w:pPr>
      <w:ind w:firstLine="660"/>
    </w:pPr>
    <w:rPr>
      <w:rFonts w:cs="Courier New"/>
      <w:szCs w:val="20"/>
    </w:rPr>
  </w:style>
  <w:style w:type="paragraph" w:styleId="39">
    <w:name w:val="Subtitle"/>
    <w:basedOn w:val="1"/>
    <w:link w:val="78"/>
    <w:qFormat/>
    <w:uiPriority w:val="0"/>
    <w:pPr>
      <w:ind w:firstLine="454"/>
      <w:jc w:val="center"/>
      <w:textAlignment w:val="baseline"/>
    </w:pPr>
    <w:rPr>
      <w:rFonts w:ascii="楷体_GB2312" w:eastAsia="楷体_GB2312"/>
      <w:kern w:val="0"/>
      <w:sz w:val="44"/>
      <w:szCs w:val="44"/>
    </w:rPr>
  </w:style>
  <w:style w:type="paragraph" w:styleId="40">
    <w:name w:val="List"/>
    <w:basedOn w:val="1"/>
    <w:semiHidden/>
    <w:qFormat/>
    <w:uiPriority w:val="0"/>
    <w:pPr>
      <w:jc w:val="center"/>
    </w:pPr>
    <w:rPr>
      <w:szCs w:val="20"/>
    </w:rPr>
  </w:style>
  <w:style w:type="paragraph" w:styleId="41">
    <w:name w:val="toc 6"/>
    <w:basedOn w:val="1"/>
    <w:next w:val="1"/>
    <w:unhideWhenUsed/>
    <w:qFormat/>
    <w:uiPriority w:val="39"/>
    <w:pPr>
      <w:spacing w:line="240" w:lineRule="auto"/>
      <w:ind w:left="2100" w:leftChars="1000"/>
    </w:pPr>
    <w:rPr>
      <w:rFonts w:ascii="Calibri" w:hAnsi="Calibri"/>
      <w:sz w:val="21"/>
      <w:szCs w:val="22"/>
    </w:rPr>
  </w:style>
  <w:style w:type="paragraph" w:styleId="42">
    <w:name w:val="toc 2"/>
    <w:basedOn w:val="1"/>
    <w:next w:val="1"/>
    <w:qFormat/>
    <w:uiPriority w:val="39"/>
    <w:pPr>
      <w:spacing w:line="300" w:lineRule="auto"/>
    </w:pPr>
    <w:rPr>
      <w:sz w:val="20"/>
    </w:rPr>
  </w:style>
  <w:style w:type="paragraph" w:styleId="43">
    <w:name w:val="toc 9"/>
    <w:basedOn w:val="1"/>
    <w:next w:val="1"/>
    <w:unhideWhenUsed/>
    <w:qFormat/>
    <w:uiPriority w:val="39"/>
    <w:pPr>
      <w:spacing w:line="240" w:lineRule="auto"/>
      <w:ind w:left="3360" w:leftChars="1600"/>
    </w:pPr>
    <w:rPr>
      <w:rFonts w:ascii="Calibri" w:hAnsi="Calibri"/>
      <w:sz w:val="21"/>
      <w:szCs w:val="22"/>
    </w:rPr>
  </w:style>
  <w:style w:type="paragraph" w:styleId="44">
    <w:name w:val="Title"/>
    <w:basedOn w:val="1"/>
    <w:next w:val="1"/>
    <w:link w:val="73"/>
    <w:qFormat/>
    <w:uiPriority w:val="0"/>
    <w:pPr>
      <w:spacing w:before="240" w:after="60"/>
      <w:jc w:val="center"/>
      <w:outlineLvl w:val="0"/>
    </w:pPr>
    <w:rPr>
      <w:rFonts w:ascii="Cambria" w:hAnsi="Cambria"/>
      <w:b/>
      <w:bCs/>
      <w:sz w:val="32"/>
      <w:szCs w:val="32"/>
    </w:rPr>
  </w:style>
  <w:style w:type="paragraph" w:styleId="45">
    <w:name w:val="annotation subject"/>
    <w:basedOn w:val="22"/>
    <w:next w:val="22"/>
    <w:link w:val="79"/>
    <w:semiHidden/>
    <w:qFormat/>
    <w:uiPriority w:val="0"/>
    <w:pPr>
      <w:spacing w:line="360" w:lineRule="auto"/>
    </w:pPr>
    <w:rPr>
      <w:rFonts w:ascii="Times New Roman" w:hAnsi="Times New Roman"/>
      <w:b/>
      <w:bCs/>
      <w:sz w:val="24"/>
    </w:rPr>
  </w:style>
  <w:style w:type="table" w:styleId="47">
    <w:name w:val="Table Grid"/>
    <w:basedOn w:val="46"/>
    <w:qFormat/>
    <w:uiPriority w:val="0"/>
    <w:pPr>
      <w:widowControl w:val="0"/>
      <w:spacing w:before="5" w:after="5" w:line="324" w:lineRule="auto"/>
      <w:jc w:val="center"/>
    </w:pPr>
    <w:rPr>
      <w:sz w:val="21"/>
      <w:szCs w:val="21"/>
    </w:rPr>
    <w:tblPr>
      <w:jc w:val="center"/>
      <w:tblBorders>
        <w:top w:val="double" w:color="333333" w:sz="4" w:space="0"/>
        <w:bottom w:val="double" w:color="333333" w:sz="4" w:space="0"/>
        <w:insideH w:val="single" w:color="333333" w:sz="2" w:space="0"/>
        <w:insideV w:val="single" w:color="333333" w:sz="2" w:space="0"/>
      </w:tblBorders>
      <w:tblCellMar>
        <w:left w:w="57" w:type="dxa"/>
        <w:right w:w="28" w:type="dxa"/>
      </w:tblCellMar>
    </w:tblPr>
    <w:trPr>
      <w:jc w:val="center"/>
    </w:trPr>
    <w:tcPr>
      <w:vAlign w:val="center"/>
    </w:tcPr>
  </w:style>
  <w:style w:type="table" w:styleId="48">
    <w:name w:val="Table Theme"/>
    <w:basedOn w:val="46"/>
    <w:qFormat/>
    <w:uiPriority w:val="0"/>
    <w:pPr>
      <w:widowControl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basedOn w:val="49"/>
    <w:qFormat/>
    <w:uiPriority w:val="22"/>
    <w:rPr>
      <w:b/>
      <w:bCs/>
    </w:rPr>
  </w:style>
  <w:style w:type="character" w:styleId="51">
    <w:name w:val="page number"/>
    <w:basedOn w:val="49"/>
    <w:semiHidden/>
    <w:qFormat/>
    <w:uiPriority w:val="0"/>
  </w:style>
  <w:style w:type="character" w:styleId="52">
    <w:name w:val="Emphasis"/>
    <w:basedOn w:val="49"/>
    <w:qFormat/>
    <w:uiPriority w:val="20"/>
    <w:rPr>
      <w:i/>
      <w:iCs/>
    </w:rPr>
  </w:style>
  <w:style w:type="character" w:styleId="53">
    <w:name w:val="Hyperlink"/>
    <w:qFormat/>
    <w:uiPriority w:val="99"/>
    <w:rPr>
      <w:color w:val="0000FF"/>
      <w:u w:val="single"/>
    </w:rPr>
  </w:style>
  <w:style w:type="character" w:styleId="54">
    <w:name w:val="annotation reference"/>
    <w:qFormat/>
    <w:uiPriority w:val="0"/>
    <w:rPr>
      <w:sz w:val="21"/>
      <w:szCs w:val="21"/>
    </w:rPr>
  </w:style>
  <w:style w:type="paragraph" w:customStyle="1" w:styleId="55">
    <w:name w:val="表头"/>
    <w:basedOn w:val="1"/>
    <w:link w:val="143"/>
    <w:qFormat/>
    <w:uiPriority w:val="0"/>
    <w:pPr>
      <w:overflowPunct w:val="0"/>
      <w:jc w:val="center"/>
      <w:textAlignment w:val="baseline"/>
    </w:pPr>
    <w:rPr>
      <w:b/>
      <w:kern w:val="24"/>
      <w:szCs w:val="21"/>
    </w:rPr>
  </w:style>
  <w:style w:type="paragraph" w:customStyle="1" w:styleId="56">
    <w:name w:val="表格文本"/>
    <w:basedOn w:val="1"/>
    <w:link w:val="92"/>
    <w:qFormat/>
    <w:uiPriority w:val="0"/>
    <w:pPr>
      <w:spacing w:line="240" w:lineRule="auto"/>
      <w:ind w:firstLine="0" w:firstLineChars="0"/>
      <w:jc w:val="center"/>
    </w:pPr>
    <w:rPr>
      <w:rFonts w:eastAsiaTheme="minorEastAsia" w:cstheme="minorBidi"/>
      <w:sz w:val="21"/>
      <w:szCs w:val="22"/>
    </w:rPr>
  </w:style>
  <w:style w:type="character" w:customStyle="1" w:styleId="57">
    <w:name w:val="标题 1 字符"/>
    <w:link w:val="7"/>
    <w:qFormat/>
    <w:uiPriority w:val="0"/>
    <w:rPr>
      <w:rFonts w:eastAsia="黑体"/>
      <w:b/>
      <w:bCs/>
      <w:kern w:val="44"/>
      <w:sz w:val="44"/>
      <w:szCs w:val="44"/>
    </w:rPr>
  </w:style>
  <w:style w:type="paragraph" w:customStyle="1" w:styleId="58">
    <w:name w:val="表格标题"/>
    <w:basedOn w:val="55"/>
    <w:next w:val="1"/>
    <w:link w:val="59"/>
    <w:qFormat/>
    <w:uiPriority w:val="0"/>
    <w:pPr>
      <w:adjustRightInd w:val="0"/>
      <w:snapToGrid w:val="0"/>
      <w:spacing w:line="240" w:lineRule="auto"/>
      <w:ind w:firstLine="0" w:firstLineChars="0"/>
      <w:jc w:val="left"/>
    </w:pPr>
    <w:rPr>
      <w:rFonts w:eastAsia="黑体"/>
      <w:b w:val="0"/>
      <w:kern w:val="2"/>
      <w:sz w:val="21"/>
      <w:szCs w:val="24"/>
    </w:rPr>
  </w:style>
  <w:style w:type="character" w:customStyle="1" w:styleId="59">
    <w:name w:val="表格标题 Char"/>
    <w:link w:val="58"/>
    <w:qFormat/>
    <w:uiPriority w:val="0"/>
    <w:rPr>
      <w:rFonts w:eastAsia="黑体"/>
      <w:kern w:val="2"/>
      <w:sz w:val="21"/>
      <w:szCs w:val="24"/>
    </w:rPr>
  </w:style>
  <w:style w:type="paragraph" w:customStyle="1" w:styleId="60">
    <w:name w:val="0正文"/>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character" w:customStyle="1" w:styleId="61">
    <w:name w:val="标题 2 字符"/>
    <w:link w:val="8"/>
    <w:qFormat/>
    <w:uiPriority w:val="0"/>
    <w:rPr>
      <w:rFonts w:eastAsia="黑体"/>
      <w:b/>
      <w:bCs/>
      <w:color w:val="000000"/>
      <w:kern w:val="2"/>
      <w:sz w:val="32"/>
      <w:szCs w:val="24"/>
    </w:rPr>
  </w:style>
  <w:style w:type="character" w:customStyle="1" w:styleId="62">
    <w:name w:val="标题 3 字符"/>
    <w:link w:val="9"/>
    <w:qFormat/>
    <w:uiPriority w:val="0"/>
    <w:rPr>
      <w:b/>
      <w:bCs/>
      <w:kern w:val="2"/>
      <w:sz w:val="28"/>
      <w:szCs w:val="32"/>
    </w:rPr>
  </w:style>
  <w:style w:type="character" w:customStyle="1" w:styleId="63">
    <w:name w:val="标题 4 字符"/>
    <w:link w:val="10"/>
    <w:qFormat/>
    <w:uiPriority w:val="9"/>
    <w:rPr>
      <w:b/>
      <w:bCs/>
      <w:kern w:val="2"/>
      <w:sz w:val="24"/>
      <w:szCs w:val="24"/>
    </w:rPr>
  </w:style>
  <w:style w:type="character" w:customStyle="1" w:styleId="64">
    <w:name w:val="标题 5 字符"/>
    <w:link w:val="11"/>
    <w:qFormat/>
    <w:uiPriority w:val="9"/>
    <w:rPr>
      <w:bCs/>
      <w:kern w:val="2"/>
      <w:sz w:val="24"/>
      <w:szCs w:val="28"/>
    </w:rPr>
  </w:style>
  <w:style w:type="character" w:customStyle="1" w:styleId="65">
    <w:name w:val="标题 6 字符"/>
    <w:link w:val="12"/>
    <w:qFormat/>
    <w:uiPriority w:val="9"/>
    <w:rPr>
      <w:rFonts w:ascii="Arial" w:hAnsi="Arial" w:eastAsia="黑体"/>
      <w:b/>
      <w:bCs/>
      <w:kern w:val="2"/>
      <w:sz w:val="24"/>
      <w:szCs w:val="24"/>
    </w:rPr>
  </w:style>
  <w:style w:type="character" w:customStyle="1" w:styleId="66">
    <w:name w:val="标题 7 字符"/>
    <w:link w:val="13"/>
    <w:qFormat/>
    <w:uiPriority w:val="9"/>
    <w:rPr>
      <w:b/>
      <w:bCs/>
      <w:kern w:val="2"/>
      <w:sz w:val="24"/>
      <w:szCs w:val="24"/>
    </w:rPr>
  </w:style>
  <w:style w:type="character" w:customStyle="1" w:styleId="67">
    <w:name w:val="标题 8 字符"/>
    <w:link w:val="14"/>
    <w:qFormat/>
    <w:uiPriority w:val="9"/>
    <w:rPr>
      <w:rFonts w:ascii="Arial" w:hAnsi="Arial" w:eastAsia="黑体"/>
      <w:kern w:val="2"/>
      <w:sz w:val="24"/>
      <w:szCs w:val="24"/>
    </w:rPr>
  </w:style>
  <w:style w:type="character" w:customStyle="1" w:styleId="68">
    <w:name w:val="标题 9 字符"/>
    <w:link w:val="15"/>
    <w:qFormat/>
    <w:uiPriority w:val="9"/>
    <w:rPr>
      <w:rFonts w:ascii="Arial" w:hAnsi="Arial" w:eastAsia="黑体"/>
      <w:kern w:val="2"/>
      <w:sz w:val="21"/>
      <w:szCs w:val="21"/>
    </w:rPr>
  </w:style>
  <w:style w:type="paragraph" w:customStyle="1" w:styleId="69">
    <w:name w:val="目录字体：副标题"/>
    <w:basedOn w:val="1"/>
    <w:qFormat/>
    <w:uiPriority w:val="0"/>
    <w:pPr>
      <w:spacing w:line="300" w:lineRule="auto"/>
      <w:ind w:left="238"/>
    </w:pPr>
    <w:rPr>
      <w:rFonts w:cs="宋体"/>
      <w:sz w:val="20"/>
      <w:szCs w:val="20"/>
    </w:rPr>
  </w:style>
  <w:style w:type="paragraph" w:customStyle="1" w:styleId="70">
    <w:name w:val="目录字体：正标题"/>
    <w:basedOn w:val="35"/>
    <w:qFormat/>
    <w:uiPriority w:val="0"/>
    <w:rPr>
      <w:rFonts w:cs="宋体"/>
      <w:bCs/>
      <w:szCs w:val="20"/>
    </w:rPr>
  </w:style>
  <w:style w:type="character" w:customStyle="1" w:styleId="71">
    <w:name w:val="批注文字 字符"/>
    <w:link w:val="22"/>
    <w:qFormat/>
    <w:uiPriority w:val="0"/>
    <w:rPr>
      <w:rFonts w:ascii="Courier New" w:hAnsi="Courier New" w:cs="Courier New"/>
      <w:kern w:val="2"/>
      <w:sz w:val="21"/>
      <w:szCs w:val="24"/>
    </w:rPr>
  </w:style>
  <w:style w:type="character" w:customStyle="1" w:styleId="72">
    <w:name w:val="批注框文本 字符"/>
    <w:link w:val="32"/>
    <w:semiHidden/>
    <w:qFormat/>
    <w:locked/>
    <w:uiPriority w:val="0"/>
    <w:rPr>
      <w:kern w:val="2"/>
      <w:sz w:val="18"/>
      <w:szCs w:val="18"/>
    </w:rPr>
  </w:style>
  <w:style w:type="character" w:customStyle="1" w:styleId="73">
    <w:name w:val="标题 字符"/>
    <w:link w:val="44"/>
    <w:qFormat/>
    <w:uiPriority w:val="0"/>
    <w:rPr>
      <w:rFonts w:ascii="Cambria" w:hAnsi="Cambria" w:cs="Times New Roman"/>
      <w:b/>
      <w:bCs/>
      <w:kern w:val="2"/>
      <w:sz w:val="32"/>
      <w:szCs w:val="32"/>
    </w:rPr>
  </w:style>
  <w:style w:type="character" w:customStyle="1" w:styleId="74">
    <w:name w:val="文档结构图 字符"/>
    <w:link w:val="21"/>
    <w:semiHidden/>
    <w:qFormat/>
    <w:locked/>
    <w:uiPriority w:val="0"/>
    <w:rPr>
      <w:kern w:val="2"/>
      <w:sz w:val="24"/>
      <w:szCs w:val="24"/>
      <w:shd w:val="clear" w:color="auto" w:fill="000080"/>
    </w:rPr>
  </w:style>
  <w:style w:type="character" w:customStyle="1" w:styleId="75">
    <w:name w:val="题注 字符"/>
    <w:link w:val="19"/>
    <w:qFormat/>
    <w:uiPriority w:val="0"/>
    <w:rPr>
      <w:rFonts w:cs="Arial"/>
      <w:b/>
      <w:kern w:val="2"/>
      <w:sz w:val="24"/>
    </w:rPr>
  </w:style>
  <w:style w:type="character" w:customStyle="1" w:styleId="76">
    <w:name w:val="日期 字符"/>
    <w:link w:val="31"/>
    <w:qFormat/>
    <w:uiPriority w:val="0"/>
    <w:rPr>
      <w:kern w:val="2"/>
      <w:sz w:val="24"/>
      <w:szCs w:val="24"/>
    </w:rPr>
  </w:style>
  <w:style w:type="character" w:customStyle="1" w:styleId="77">
    <w:name w:val="不明显强调1"/>
    <w:qFormat/>
    <w:uiPriority w:val="19"/>
    <w:rPr>
      <w:rFonts w:eastAsia="宋体" w:cs="Times New Roman"/>
      <w:i/>
      <w:iCs/>
      <w:color w:val="808080"/>
      <w:szCs w:val="22"/>
      <w:lang w:eastAsia="zh-CN"/>
    </w:rPr>
  </w:style>
  <w:style w:type="character" w:customStyle="1" w:styleId="78">
    <w:name w:val="副标题 字符"/>
    <w:link w:val="39"/>
    <w:qFormat/>
    <w:uiPriority w:val="0"/>
    <w:rPr>
      <w:rFonts w:ascii="楷体_GB2312" w:eastAsia="楷体_GB2312"/>
      <w:sz w:val="44"/>
      <w:szCs w:val="44"/>
    </w:rPr>
  </w:style>
  <w:style w:type="character" w:customStyle="1" w:styleId="79">
    <w:name w:val="批注主题 字符"/>
    <w:basedOn w:val="71"/>
    <w:link w:val="45"/>
    <w:semiHidden/>
    <w:qFormat/>
    <w:uiPriority w:val="0"/>
    <w:rPr>
      <w:rFonts w:ascii="Courier New" w:hAnsi="Courier New" w:cs="Courier New"/>
      <w:b/>
      <w:bCs/>
      <w:kern w:val="2"/>
      <w:sz w:val="24"/>
      <w:szCs w:val="24"/>
    </w:rPr>
  </w:style>
  <w:style w:type="paragraph" w:customStyle="1" w:styleId="8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1">
    <w:name w:val="修订1"/>
    <w:semiHidden/>
    <w:qFormat/>
    <w:uiPriority w:val="99"/>
    <w:rPr>
      <w:rFonts w:ascii="Times New Roman" w:hAnsi="Times New Roman" w:eastAsia="宋体" w:cs="Times New Roman"/>
      <w:kern w:val="2"/>
      <w:sz w:val="24"/>
      <w:szCs w:val="24"/>
      <w:lang w:val="en-US" w:eastAsia="zh-CN" w:bidi="ar-SA"/>
    </w:rPr>
  </w:style>
  <w:style w:type="paragraph" w:customStyle="1" w:styleId="82">
    <w:name w:val="图框"/>
    <w:basedOn w:val="1"/>
    <w:qFormat/>
    <w:uiPriority w:val="0"/>
    <w:pPr>
      <w:spacing w:line="240" w:lineRule="auto"/>
      <w:jc w:val="center"/>
    </w:pPr>
    <w:rPr>
      <w:sz w:val="18"/>
    </w:rPr>
  </w:style>
  <w:style w:type="paragraph" w:customStyle="1" w:styleId="83">
    <w:name w:val="表中文字"/>
    <w:basedOn w:val="1"/>
    <w:qFormat/>
    <w:uiPriority w:val="0"/>
    <w:pPr>
      <w:spacing w:line="400" w:lineRule="exact"/>
      <w:jc w:val="center"/>
    </w:pPr>
    <w:rPr>
      <w:rFonts w:ascii="Arial" w:hAnsi="Arial"/>
      <w:sz w:val="21"/>
      <w:szCs w:val="20"/>
    </w:rPr>
  </w:style>
  <w:style w:type="paragraph" w:customStyle="1" w:styleId="84">
    <w:name w:val="表题"/>
    <w:basedOn w:val="1"/>
    <w:qFormat/>
    <w:uiPriority w:val="0"/>
    <w:pPr>
      <w:autoSpaceDE w:val="0"/>
      <w:autoSpaceDN w:val="0"/>
      <w:spacing w:line="480" w:lineRule="atLeast"/>
      <w:jc w:val="center"/>
      <w:textAlignment w:val="baseline"/>
    </w:pPr>
    <w:rPr>
      <w:rFonts w:ascii="黑体" w:eastAsia="黑体"/>
      <w:kern w:val="16"/>
      <w:sz w:val="21"/>
      <w:szCs w:val="20"/>
    </w:rPr>
  </w:style>
  <w:style w:type="paragraph" w:customStyle="1" w:styleId="85">
    <w:name w:val="框图"/>
    <w:basedOn w:val="1"/>
    <w:qFormat/>
    <w:uiPriority w:val="0"/>
    <w:pPr>
      <w:spacing w:line="240" w:lineRule="auto"/>
      <w:jc w:val="center"/>
    </w:pPr>
    <w:rPr>
      <w:rFonts w:eastAsia="仿宋_GB2312"/>
      <w:sz w:val="21"/>
      <w:szCs w:val="20"/>
    </w:rPr>
  </w:style>
  <w:style w:type="paragraph" w:customStyle="1" w:styleId="86">
    <w:name w:val="图框文字"/>
    <w:basedOn w:val="1"/>
    <w:qFormat/>
    <w:uiPriority w:val="0"/>
    <w:pPr>
      <w:spacing w:line="240" w:lineRule="auto"/>
      <w:jc w:val="center"/>
    </w:pPr>
    <w:rPr>
      <w:rFonts w:ascii="Arial" w:hAnsi="Arial"/>
      <w:sz w:val="21"/>
    </w:rPr>
  </w:style>
  <w:style w:type="paragraph" w:styleId="87">
    <w:name w:val="No Spacing"/>
    <w:qFormat/>
    <w:uiPriority w:val="1"/>
    <w:pPr>
      <w:widowControl w:val="0"/>
      <w:jc w:val="both"/>
    </w:pPr>
    <w:rPr>
      <w:rFonts w:ascii="Times New Roman" w:hAnsi="Times New Roman" w:eastAsia="宋体" w:cs="Calibri"/>
      <w:kern w:val="2"/>
      <w:sz w:val="28"/>
      <w:szCs w:val="21"/>
      <w:lang w:val="en-US" w:eastAsia="zh-CN" w:bidi="ar-SA"/>
    </w:rPr>
  </w:style>
  <w:style w:type="paragraph" w:customStyle="1" w:styleId="88">
    <w:name w:val="文本框"/>
    <w:basedOn w:val="1"/>
    <w:qFormat/>
    <w:uiPriority w:val="0"/>
    <w:pPr>
      <w:spacing w:line="380" w:lineRule="exact"/>
      <w:ind w:firstLine="0" w:firstLineChars="0"/>
      <w:jc w:val="center"/>
    </w:pPr>
    <w:rPr>
      <w:rFonts w:ascii="宋体"/>
    </w:rPr>
  </w:style>
  <w:style w:type="paragraph" w:styleId="89">
    <w:name w:val="List Paragraph"/>
    <w:basedOn w:val="1"/>
    <w:qFormat/>
    <w:uiPriority w:val="34"/>
    <w:pPr>
      <w:spacing w:line="240" w:lineRule="auto"/>
      <w:ind w:firstLine="420"/>
    </w:pPr>
    <w:rPr>
      <w:rFonts w:ascii="Calibri" w:hAnsi="Calibri"/>
      <w:sz w:val="21"/>
      <w:szCs w:val="22"/>
    </w:rPr>
  </w:style>
  <w:style w:type="paragraph" w:customStyle="1" w:styleId="90">
    <w:name w:val="简单回函地址"/>
    <w:basedOn w:val="1"/>
    <w:qFormat/>
    <w:uiPriority w:val="0"/>
    <w:pPr>
      <w:ind w:firstLine="425"/>
      <w:textAlignment w:val="baseline"/>
    </w:pPr>
    <w:rPr>
      <w:rFonts w:ascii="Arial" w:hAnsi="Arial"/>
      <w:kern w:val="0"/>
    </w:rPr>
  </w:style>
  <w:style w:type="paragraph" w:customStyle="1" w:styleId="91">
    <w:name w:val="二级标题"/>
    <w:basedOn w:val="1"/>
    <w:qFormat/>
    <w:uiPriority w:val="0"/>
    <w:pPr>
      <w:spacing w:line="500" w:lineRule="exact"/>
      <w:outlineLvl w:val="1"/>
    </w:pPr>
    <w:rPr>
      <w:rFonts w:eastAsia="仿宋_GB2312"/>
      <w:b/>
      <w:sz w:val="28"/>
    </w:rPr>
  </w:style>
  <w:style w:type="character" w:customStyle="1" w:styleId="92">
    <w:name w:val="表格文本 字符"/>
    <w:basedOn w:val="49"/>
    <w:link w:val="56"/>
    <w:qFormat/>
    <w:uiPriority w:val="0"/>
    <w:rPr>
      <w:rFonts w:eastAsiaTheme="minorEastAsia" w:cstheme="minorBidi"/>
      <w:kern w:val="2"/>
      <w:sz w:val="21"/>
      <w:szCs w:val="22"/>
    </w:rPr>
  </w:style>
  <w:style w:type="character" w:customStyle="1" w:styleId="93">
    <w:name w:val="标题3 Char"/>
    <w:link w:val="94"/>
    <w:qFormat/>
    <w:locked/>
    <w:uiPriority w:val="0"/>
    <w:rPr>
      <w:b/>
      <w:bCs/>
      <w:kern w:val="2"/>
      <w:sz w:val="28"/>
      <w:szCs w:val="21"/>
      <w:lang w:val="zh-CN"/>
    </w:rPr>
  </w:style>
  <w:style w:type="paragraph" w:customStyle="1" w:styleId="94">
    <w:name w:val="标题3"/>
    <w:basedOn w:val="9"/>
    <w:next w:val="1"/>
    <w:link w:val="93"/>
    <w:qFormat/>
    <w:uiPriority w:val="0"/>
    <w:pPr>
      <w:ind w:left="240" w:leftChars="100" w:right="240" w:rightChars="100"/>
      <w:jc w:val="left"/>
    </w:pPr>
    <w:rPr>
      <w:szCs w:val="21"/>
      <w:lang w:val="zh-CN"/>
    </w:rPr>
  </w:style>
  <w:style w:type="paragraph" w:customStyle="1" w:styleId="95">
    <w:name w:val="图标题"/>
    <w:basedOn w:val="94"/>
    <w:qFormat/>
    <w:uiPriority w:val="0"/>
    <w:rPr>
      <w:b w:val="0"/>
    </w:rPr>
  </w:style>
  <w:style w:type="character" w:customStyle="1" w:styleId="96">
    <w:name w:val="图表标题 Char"/>
    <w:link w:val="97"/>
    <w:qFormat/>
    <w:locked/>
    <w:uiPriority w:val="0"/>
    <w:rPr>
      <w:rFonts w:eastAsia="黑体"/>
      <w:sz w:val="21"/>
      <w:szCs w:val="24"/>
    </w:rPr>
  </w:style>
  <w:style w:type="paragraph" w:customStyle="1" w:styleId="97">
    <w:name w:val="图表标题"/>
    <w:basedOn w:val="1"/>
    <w:link w:val="96"/>
    <w:qFormat/>
    <w:uiPriority w:val="0"/>
    <w:pPr>
      <w:ind w:firstLine="0" w:firstLineChars="0"/>
      <w:jc w:val="center"/>
      <w:outlineLvl w:val="4"/>
    </w:pPr>
    <w:rPr>
      <w:rFonts w:eastAsia="黑体"/>
      <w:kern w:val="0"/>
      <w:sz w:val="21"/>
    </w:rPr>
  </w:style>
  <w:style w:type="character" w:customStyle="1" w:styleId="98">
    <w:name w:val="图例 Char"/>
    <w:link w:val="99"/>
    <w:qFormat/>
    <w:locked/>
    <w:uiPriority w:val="0"/>
    <w:rPr>
      <w:b/>
      <w:bCs/>
      <w:kern w:val="2"/>
      <w:sz w:val="21"/>
      <w:szCs w:val="24"/>
      <w:lang w:val="zh-CN"/>
    </w:rPr>
  </w:style>
  <w:style w:type="paragraph" w:customStyle="1" w:styleId="99">
    <w:name w:val="图例"/>
    <w:basedOn w:val="1"/>
    <w:link w:val="98"/>
    <w:qFormat/>
    <w:uiPriority w:val="0"/>
    <w:pPr>
      <w:spacing w:after="120" w:line="300" w:lineRule="auto"/>
      <w:ind w:firstLine="0" w:firstLineChars="0"/>
      <w:jc w:val="center"/>
    </w:pPr>
    <w:rPr>
      <w:b/>
      <w:bCs/>
      <w:sz w:val="21"/>
      <w:lang w:val="zh-CN"/>
    </w:rPr>
  </w:style>
  <w:style w:type="character" w:customStyle="1" w:styleId="100">
    <w:name w:val="标题1 Char"/>
    <w:link w:val="101"/>
    <w:qFormat/>
    <w:locked/>
    <w:uiPriority w:val="0"/>
    <w:rPr>
      <w:rFonts w:ascii="宋体" w:hAnsi="宋体"/>
      <w:b/>
      <w:bCs/>
      <w:color w:val="000000"/>
      <w:kern w:val="44"/>
      <w:sz w:val="36"/>
      <w:szCs w:val="36"/>
    </w:rPr>
  </w:style>
  <w:style w:type="paragraph" w:customStyle="1" w:styleId="101">
    <w:name w:val="标题1"/>
    <w:basedOn w:val="1"/>
    <w:link w:val="100"/>
    <w:qFormat/>
    <w:uiPriority w:val="0"/>
    <w:pPr>
      <w:keepNext/>
      <w:keepLines/>
      <w:spacing w:beforeLines="150" w:afterLines="150"/>
      <w:ind w:firstLine="0" w:firstLineChars="0"/>
      <w:jc w:val="left"/>
      <w:outlineLvl w:val="0"/>
    </w:pPr>
    <w:rPr>
      <w:rFonts w:ascii="宋体" w:hAnsi="宋体"/>
      <w:b/>
      <w:bCs/>
      <w:color w:val="000000"/>
      <w:kern w:val="44"/>
      <w:sz w:val="36"/>
      <w:szCs w:val="36"/>
    </w:rPr>
  </w:style>
  <w:style w:type="character" w:customStyle="1" w:styleId="102">
    <w:name w:val="图标准 Char"/>
    <w:link w:val="103"/>
    <w:qFormat/>
    <w:locked/>
    <w:uiPriority w:val="0"/>
    <w:rPr>
      <w:rFonts w:ascii="仿宋_GB2312" w:eastAsia="黑体"/>
      <w:b/>
      <w:spacing w:val="4"/>
      <w:kern w:val="2"/>
      <w:sz w:val="24"/>
      <w:szCs w:val="28"/>
    </w:rPr>
  </w:style>
  <w:style w:type="paragraph" w:customStyle="1" w:styleId="103">
    <w:name w:val="图标准"/>
    <w:basedOn w:val="1"/>
    <w:link w:val="102"/>
    <w:qFormat/>
    <w:uiPriority w:val="0"/>
    <w:pPr>
      <w:tabs>
        <w:tab w:val="left" w:pos="0"/>
      </w:tabs>
      <w:spacing w:beforeLines="100"/>
      <w:ind w:firstLine="562" w:firstLineChars="0"/>
      <w:jc w:val="center"/>
    </w:pPr>
    <w:rPr>
      <w:rFonts w:ascii="仿宋_GB2312" w:eastAsia="黑体"/>
      <w:b/>
      <w:spacing w:val="4"/>
      <w:szCs w:val="28"/>
    </w:rPr>
  </w:style>
  <w:style w:type="paragraph" w:customStyle="1" w:styleId="104">
    <w:name w:val="文本"/>
    <w:basedOn w:val="1"/>
    <w:link w:val="105"/>
    <w:qFormat/>
    <w:uiPriority w:val="0"/>
    <w:pPr>
      <w:ind w:firstLine="480"/>
    </w:pPr>
    <w:rPr>
      <w:kern w:val="0"/>
      <w:lang w:val="zh-CN"/>
    </w:rPr>
  </w:style>
  <w:style w:type="character" w:customStyle="1" w:styleId="105">
    <w:name w:val="文本 Char"/>
    <w:link w:val="104"/>
    <w:qFormat/>
    <w:uiPriority w:val="0"/>
    <w:rPr>
      <w:sz w:val="24"/>
      <w:szCs w:val="24"/>
      <w:lang w:val="zh-CN" w:eastAsia="zh-CN"/>
    </w:rPr>
  </w:style>
  <w:style w:type="paragraph" w:customStyle="1" w:styleId="106">
    <w:name w:val="批注"/>
    <w:basedOn w:val="19"/>
    <w:link w:val="107"/>
    <w:qFormat/>
    <w:uiPriority w:val="0"/>
    <w:pPr>
      <w:ind w:firstLine="0" w:firstLineChars="0"/>
    </w:pPr>
    <w:rPr>
      <w:kern w:val="0"/>
      <w:sz w:val="21"/>
      <w:szCs w:val="21"/>
    </w:rPr>
  </w:style>
  <w:style w:type="character" w:customStyle="1" w:styleId="107">
    <w:name w:val="批注 Char"/>
    <w:link w:val="106"/>
    <w:qFormat/>
    <w:uiPriority w:val="0"/>
    <w:rPr>
      <w:b/>
      <w:sz w:val="21"/>
      <w:szCs w:val="21"/>
    </w:rPr>
  </w:style>
  <w:style w:type="character" w:customStyle="1" w:styleId="108">
    <w:name w:val="页眉 字符"/>
    <w:basedOn w:val="49"/>
    <w:link w:val="34"/>
    <w:qFormat/>
    <w:uiPriority w:val="99"/>
    <w:rPr>
      <w:kern w:val="2"/>
      <w:sz w:val="18"/>
      <w:szCs w:val="18"/>
    </w:rPr>
  </w:style>
  <w:style w:type="character" w:customStyle="1" w:styleId="109">
    <w:name w:val="fontstyle01"/>
    <w:basedOn w:val="49"/>
    <w:qFormat/>
    <w:uiPriority w:val="0"/>
    <w:rPr>
      <w:rFonts w:hint="default" w:ascii="Times New Roman" w:hAnsi="Times New Roman" w:cs="Times New Roman"/>
      <w:b/>
      <w:bCs/>
      <w:color w:val="000000"/>
      <w:sz w:val="30"/>
      <w:szCs w:val="30"/>
    </w:rPr>
  </w:style>
  <w:style w:type="character" w:customStyle="1" w:styleId="110">
    <w:name w:val="fontstyle21"/>
    <w:basedOn w:val="49"/>
    <w:qFormat/>
    <w:uiPriority w:val="0"/>
    <w:rPr>
      <w:rFonts w:hint="eastAsia" w:ascii="宋体" w:hAnsi="宋体" w:eastAsia="宋体"/>
      <w:color w:val="000000"/>
      <w:sz w:val="30"/>
      <w:szCs w:val="30"/>
    </w:rPr>
  </w:style>
  <w:style w:type="character" w:customStyle="1" w:styleId="111">
    <w:name w:val="fontstyle31"/>
    <w:basedOn w:val="49"/>
    <w:qFormat/>
    <w:uiPriority w:val="0"/>
    <w:rPr>
      <w:rFonts w:hint="default" w:ascii="Times New Roman" w:hAnsi="Times New Roman" w:cs="Times New Roman"/>
      <w:color w:val="000000"/>
      <w:sz w:val="24"/>
      <w:szCs w:val="24"/>
    </w:rPr>
  </w:style>
  <w:style w:type="character" w:customStyle="1" w:styleId="112">
    <w:name w:val="fontstyle11"/>
    <w:basedOn w:val="49"/>
    <w:qFormat/>
    <w:uiPriority w:val="0"/>
    <w:rPr>
      <w:rFonts w:hint="eastAsia" w:ascii="宋体" w:hAnsi="宋体" w:eastAsia="宋体"/>
      <w:color w:val="000000"/>
      <w:sz w:val="22"/>
      <w:szCs w:val="22"/>
    </w:rPr>
  </w:style>
  <w:style w:type="paragraph" w:customStyle="1" w:styleId="113">
    <w:name w:val="章标题"/>
    <w:basedOn w:val="1"/>
    <w:qFormat/>
    <w:uiPriority w:val="0"/>
    <w:pPr>
      <w:widowControl/>
      <w:ind w:firstLine="0" w:firstLineChars="0"/>
      <w:jc w:val="left"/>
    </w:pPr>
    <w:rPr>
      <w:b/>
      <w:kern w:val="0"/>
    </w:rPr>
  </w:style>
  <w:style w:type="character" w:customStyle="1" w:styleId="114">
    <w:name w:val="纯文本 字符"/>
    <w:basedOn w:val="49"/>
    <w:link w:val="29"/>
    <w:qFormat/>
    <w:uiPriority w:val="0"/>
    <w:rPr>
      <w:rFonts w:ascii="宋体" w:hAnsi="Courier New"/>
      <w:kern w:val="2"/>
      <w:sz w:val="21"/>
    </w:rPr>
  </w:style>
  <w:style w:type="paragraph" w:customStyle="1" w:styleId="115">
    <w:name w:val="目录"/>
    <w:basedOn w:val="1"/>
    <w:link w:val="116"/>
    <w:qFormat/>
    <w:uiPriority w:val="0"/>
    <w:pPr>
      <w:widowControl/>
      <w:spacing w:line="300" w:lineRule="auto"/>
      <w:ind w:firstLine="0" w:firstLineChars="0"/>
      <w:jc w:val="center"/>
    </w:pPr>
    <w:rPr>
      <w:rFonts w:ascii="黑体" w:eastAsia="黑体"/>
      <w:kern w:val="0"/>
      <w:sz w:val="30"/>
      <w:szCs w:val="30"/>
      <w:lang w:eastAsia="en-US" w:bidi="en-US"/>
    </w:rPr>
  </w:style>
  <w:style w:type="character" w:customStyle="1" w:styleId="116">
    <w:name w:val="目录 Char"/>
    <w:basedOn w:val="49"/>
    <w:link w:val="115"/>
    <w:qFormat/>
    <w:uiPriority w:val="0"/>
    <w:rPr>
      <w:rFonts w:ascii="黑体" w:eastAsia="黑体"/>
      <w:sz w:val="30"/>
      <w:szCs w:val="30"/>
      <w:lang w:val="en-US" w:eastAsia="en-US" w:bidi="en-US"/>
    </w:rPr>
  </w:style>
  <w:style w:type="character" w:customStyle="1" w:styleId="117">
    <w:name w:val="页脚 字符"/>
    <w:basedOn w:val="49"/>
    <w:link w:val="33"/>
    <w:qFormat/>
    <w:uiPriority w:val="99"/>
    <w:rPr>
      <w:kern w:val="2"/>
      <w:sz w:val="18"/>
      <w:szCs w:val="18"/>
    </w:rPr>
  </w:style>
  <w:style w:type="paragraph" w:customStyle="1" w:styleId="118">
    <w:name w:val="列表段落1"/>
    <w:basedOn w:val="1"/>
    <w:qFormat/>
    <w:uiPriority w:val="0"/>
    <w:pPr>
      <w:spacing w:line="240" w:lineRule="auto"/>
      <w:ind w:firstLine="420"/>
    </w:pPr>
    <w:rPr>
      <w:rFonts w:ascii="Calibri" w:hAnsi="Calibri"/>
      <w:sz w:val="21"/>
      <w:szCs w:val="22"/>
    </w:rPr>
  </w:style>
  <w:style w:type="character" w:customStyle="1" w:styleId="119">
    <w:name w:val="正文文本缩进 2 字符"/>
    <w:basedOn w:val="49"/>
    <w:link w:val="2"/>
    <w:qFormat/>
    <w:uiPriority w:val="0"/>
    <w:rPr>
      <w:kern w:val="2"/>
      <w:sz w:val="24"/>
      <w:szCs w:val="24"/>
    </w:rPr>
  </w:style>
  <w:style w:type="paragraph" w:customStyle="1" w:styleId="120">
    <w:name w:val="报告正文"/>
    <w:basedOn w:val="1"/>
    <w:next w:val="1"/>
    <w:qFormat/>
    <w:uiPriority w:val="0"/>
    <w:pPr>
      <w:widowControl/>
      <w:spacing w:line="480" w:lineRule="exact"/>
      <w:jc w:val="left"/>
    </w:pPr>
    <w:rPr>
      <w:rFonts w:ascii="Tahoma" w:hAnsi="Tahoma" w:eastAsia="微软雅黑" w:cstheme="minorBidi"/>
      <w:kern w:val="0"/>
    </w:rPr>
  </w:style>
  <w:style w:type="paragraph" w:customStyle="1" w:styleId="121">
    <w:name w:val="样式8"/>
    <w:basedOn w:val="1"/>
    <w:link w:val="122"/>
    <w:qFormat/>
    <w:uiPriority w:val="0"/>
    <w:pPr>
      <w:spacing w:line="500" w:lineRule="exact"/>
      <w:ind w:firstLine="480"/>
    </w:pPr>
    <w:rPr>
      <w:rFonts w:ascii="宋体" w:hAnsi="宋体" w:cs="宋体"/>
      <w:color w:val="000000"/>
      <w:kern w:val="0"/>
      <w:szCs w:val="20"/>
    </w:rPr>
  </w:style>
  <w:style w:type="character" w:customStyle="1" w:styleId="122">
    <w:name w:val="样式8 Char"/>
    <w:basedOn w:val="49"/>
    <w:link w:val="121"/>
    <w:qFormat/>
    <w:uiPriority w:val="0"/>
    <w:rPr>
      <w:rFonts w:ascii="宋体" w:hAnsi="宋体" w:cs="宋体"/>
      <w:color w:val="000000"/>
      <w:sz w:val="24"/>
    </w:rPr>
  </w:style>
  <w:style w:type="character" w:customStyle="1" w:styleId="123">
    <w:name w:val="表格标题 字符"/>
    <w:basedOn w:val="49"/>
    <w:qFormat/>
    <w:uiPriority w:val="0"/>
    <w:rPr>
      <w:rFonts w:eastAsia="宋体"/>
      <w:b/>
      <w:kern w:val="24"/>
      <w:sz w:val="21"/>
      <w:szCs w:val="21"/>
      <w:lang w:val="en-US" w:eastAsia="zh-CN" w:bidi="ar-SA"/>
    </w:rPr>
  </w:style>
  <w:style w:type="character" w:customStyle="1" w:styleId="124">
    <w:name w:val="样式 (符号) 宋体 小四"/>
    <w:qFormat/>
    <w:uiPriority w:val="0"/>
    <w:rPr>
      <w:sz w:val="24"/>
    </w:rPr>
  </w:style>
  <w:style w:type="character" w:customStyle="1" w:styleId="125">
    <w:name w:val="样式4 Char"/>
    <w:basedOn w:val="49"/>
    <w:link w:val="126"/>
    <w:qFormat/>
    <w:uiPriority w:val="0"/>
    <w:rPr>
      <w:rFonts w:ascii="宋体" w:hAnsi="宋体"/>
      <w:kern w:val="2"/>
      <w:sz w:val="24"/>
      <w:szCs w:val="24"/>
    </w:rPr>
  </w:style>
  <w:style w:type="paragraph" w:customStyle="1" w:styleId="126">
    <w:name w:val="样式4"/>
    <w:basedOn w:val="1"/>
    <w:link w:val="125"/>
    <w:qFormat/>
    <w:uiPriority w:val="0"/>
    <w:pPr>
      <w:ind w:firstLine="480"/>
    </w:pPr>
    <w:rPr>
      <w:rFonts w:ascii="宋体" w:hAnsi="宋体"/>
    </w:rPr>
  </w:style>
  <w:style w:type="paragraph" w:customStyle="1" w:styleId="127">
    <w:name w:val="正文文本缩进 31"/>
    <w:basedOn w:val="1"/>
    <w:qFormat/>
    <w:uiPriority w:val="0"/>
    <w:pPr>
      <w:spacing w:after="120"/>
      <w:ind w:left="420" w:leftChars="200"/>
    </w:pPr>
    <w:rPr>
      <w:sz w:val="16"/>
      <w:szCs w:val="16"/>
    </w:rPr>
  </w:style>
  <w:style w:type="character" w:customStyle="1" w:styleId="128">
    <w:name w:val="正文缩进 字符"/>
    <w:link w:val="18"/>
    <w:qFormat/>
    <w:uiPriority w:val="0"/>
    <w:rPr>
      <w:kern w:val="2"/>
      <w:sz w:val="24"/>
    </w:rPr>
  </w:style>
  <w:style w:type="paragraph" w:customStyle="1" w:styleId="129">
    <w:name w:val="规划院正文"/>
    <w:basedOn w:val="1"/>
    <w:qFormat/>
    <w:uiPriority w:val="0"/>
    <w:pPr>
      <w:spacing w:line="300" w:lineRule="auto"/>
    </w:pPr>
    <w:rPr>
      <w:rFonts w:ascii="宋体" w:hAnsi="宋体"/>
      <w:color w:val="000000"/>
    </w:rPr>
  </w:style>
  <w:style w:type="character" w:customStyle="1" w:styleId="130">
    <w:name w:val="样式 小四 黑色 行距: 固定值 25 磅1 Char"/>
    <w:link w:val="131"/>
    <w:qFormat/>
    <w:uiPriority w:val="0"/>
    <w:rPr>
      <w:rFonts w:cs="宋体"/>
      <w:color w:val="000000"/>
      <w:sz w:val="24"/>
    </w:rPr>
  </w:style>
  <w:style w:type="paragraph" w:customStyle="1" w:styleId="131">
    <w:name w:val="样式 小四 黑色 行距: 固定值 25 磅1"/>
    <w:basedOn w:val="1"/>
    <w:link w:val="130"/>
    <w:qFormat/>
    <w:uiPriority w:val="0"/>
    <w:pPr>
      <w:spacing w:line="500" w:lineRule="exact"/>
      <w:ind w:firstLine="480"/>
    </w:pPr>
    <w:rPr>
      <w:rFonts w:cs="宋体"/>
      <w:color w:val="000000"/>
      <w:kern w:val="0"/>
      <w:szCs w:val="20"/>
    </w:rPr>
  </w:style>
  <w:style w:type="character" w:customStyle="1" w:styleId="132">
    <w:name w:val="正文文本缩进 字符"/>
    <w:basedOn w:val="49"/>
    <w:link w:val="23"/>
    <w:semiHidden/>
    <w:qFormat/>
    <w:uiPriority w:val="0"/>
    <w:rPr>
      <w:kern w:val="2"/>
      <w:sz w:val="24"/>
      <w:szCs w:val="24"/>
    </w:rPr>
  </w:style>
  <w:style w:type="paragraph" w:customStyle="1" w:styleId="133">
    <w:name w:val="正文B"/>
    <w:basedOn w:val="1"/>
    <w:link w:val="138"/>
    <w:qFormat/>
    <w:uiPriority w:val="0"/>
    <w:rPr>
      <w:rFonts w:ascii="宋体" w:hAnsi="宋体" w:cs="宋体"/>
      <w:szCs w:val="20"/>
    </w:rPr>
  </w:style>
  <w:style w:type="paragraph" w:customStyle="1" w:styleId="134">
    <w:name w:val="表格文字"/>
    <w:basedOn w:val="135"/>
    <w:link w:val="137"/>
    <w:qFormat/>
    <w:uiPriority w:val="0"/>
    <w:pPr>
      <w:spacing w:line="240" w:lineRule="auto"/>
      <w:ind w:firstLine="0" w:firstLineChars="0"/>
    </w:pPr>
    <w:rPr>
      <w:sz w:val="21"/>
      <w:szCs w:val="21"/>
    </w:rPr>
  </w:style>
  <w:style w:type="paragraph" w:customStyle="1" w:styleId="135">
    <w:name w:val="样式1"/>
    <w:basedOn w:val="136"/>
    <w:qFormat/>
    <w:uiPriority w:val="0"/>
    <w:pPr>
      <w:spacing w:line="360" w:lineRule="auto"/>
    </w:pPr>
  </w:style>
  <w:style w:type="paragraph" w:customStyle="1" w:styleId="136">
    <w:name w:val="样式 宋体 小四 黑色 行距: 最小值 25 磅"/>
    <w:basedOn w:val="1"/>
    <w:qFormat/>
    <w:uiPriority w:val="0"/>
    <w:pPr>
      <w:spacing w:line="500" w:lineRule="atLeast"/>
      <w:ind w:firstLine="480"/>
    </w:pPr>
    <w:rPr>
      <w:rFonts w:ascii="宋体" w:hAnsi="宋体" w:cs="宋体"/>
      <w:color w:val="000000"/>
      <w:szCs w:val="20"/>
    </w:rPr>
  </w:style>
  <w:style w:type="character" w:customStyle="1" w:styleId="137">
    <w:name w:val="表格文字 字符"/>
    <w:basedOn w:val="49"/>
    <w:link w:val="134"/>
    <w:qFormat/>
    <w:uiPriority w:val="0"/>
    <w:rPr>
      <w:kern w:val="2"/>
      <w:sz w:val="21"/>
      <w:szCs w:val="21"/>
    </w:rPr>
  </w:style>
  <w:style w:type="character" w:customStyle="1" w:styleId="138">
    <w:name w:val="正文B Char"/>
    <w:basedOn w:val="49"/>
    <w:link w:val="133"/>
    <w:qFormat/>
    <w:uiPriority w:val="0"/>
    <w:rPr>
      <w:rFonts w:ascii="宋体" w:hAnsi="宋体" w:cs="宋体"/>
      <w:kern w:val="2"/>
      <w:sz w:val="24"/>
    </w:rPr>
  </w:style>
  <w:style w:type="paragraph" w:customStyle="1" w:styleId="139">
    <w:name w:val="表格文本居中"/>
    <w:basedOn w:val="1"/>
    <w:link w:val="140"/>
    <w:qFormat/>
    <w:uiPriority w:val="0"/>
    <w:pPr>
      <w:spacing w:line="240" w:lineRule="auto"/>
      <w:ind w:firstLine="0" w:firstLineChars="0"/>
      <w:jc w:val="center"/>
    </w:pPr>
    <w:rPr>
      <w:sz w:val="21"/>
    </w:rPr>
  </w:style>
  <w:style w:type="character" w:customStyle="1" w:styleId="140">
    <w:name w:val="表格文本居中 字符"/>
    <w:basedOn w:val="49"/>
    <w:link w:val="139"/>
    <w:qFormat/>
    <w:uiPriority w:val="0"/>
    <w:rPr>
      <w:kern w:val="2"/>
      <w:sz w:val="21"/>
      <w:szCs w:val="24"/>
    </w:rPr>
  </w:style>
  <w:style w:type="paragraph" w:customStyle="1" w:styleId="141">
    <w:name w:val="表格居中"/>
    <w:basedOn w:val="1"/>
    <w:qFormat/>
    <w:uiPriority w:val="0"/>
    <w:pPr>
      <w:spacing w:line="0" w:lineRule="atLeast"/>
      <w:ind w:firstLine="0" w:firstLineChars="0"/>
      <w:jc w:val="center"/>
    </w:pPr>
    <w:rPr>
      <w:rFonts w:cs="Arial"/>
      <w:kern w:val="0"/>
      <w:sz w:val="21"/>
      <w:szCs w:val="21"/>
    </w:rPr>
  </w:style>
  <w:style w:type="paragraph" w:customStyle="1" w:styleId="142">
    <w:name w:val="表格文本靠左"/>
    <w:qFormat/>
    <w:uiPriority w:val="0"/>
    <w:pPr>
      <w:widowControl w:val="0"/>
    </w:pPr>
    <w:rPr>
      <w:rFonts w:ascii="Times New Roman" w:hAnsi="Times New Roman" w:eastAsia="宋体" w:cs="Times New Roman"/>
      <w:kern w:val="2"/>
      <w:sz w:val="21"/>
      <w:szCs w:val="22"/>
      <w:lang w:val="en-US" w:eastAsia="zh-CN" w:bidi="ar-SA"/>
    </w:rPr>
  </w:style>
  <w:style w:type="character" w:customStyle="1" w:styleId="143">
    <w:name w:val="表头 Char"/>
    <w:basedOn w:val="49"/>
    <w:link w:val="55"/>
    <w:qFormat/>
    <w:uiPriority w:val="0"/>
    <w:rPr>
      <w:b/>
      <w:kern w:val="24"/>
      <w:sz w:val="24"/>
      <w:szCs w:val="21"/>
    </w:rPr>
  </w:style>
  <w:style w:type="paragraph" w:customStyle="1" w:styleId="144">
    <w:name w:val="正文_18"/>
    <w:qFormat/>
    <w:uiPriority w:val="0"/>
    <w:pPr>
      <w:widowControl w:val="0"/>
      <w:jc w:val="both"/>
    </w:pPr>
    <w:rPr>
      <w:rFonts w:ascii="Calibri" w:hAnsi="Calibri" w:eastAsia="宋体" w:cs="Times New Roman"/>
      <w:kern w:val="2"/>
      <w:sz w:val="21"/>
      <w:lang w:val="en-US" w:eastAsia="zh-CN" w:bidi="ar-SA"/>
    </w:rPr>
  </w:style>
  <w:style w:type="character" w:customStyle="1" w:styleId="145">
    <w:name w:val="未处理的提及1"/>
    <w:basedOn w:val="49"/>
    <w:semiHidden/>
    <w:unhideWhenUsed/>
    <w:qFormat/>
    <w:uiPriority w:val="99"/>
    <w:rPr>
      <w:color w:val="605E5C"/>
      <w:shd w:val="clear" w:color="auto" w:fill="E1DFDD"/>
    </w:rPr>
  </w:style>
  <w:style w:type="paragraph" w:customStyle="1" w:styleId="146">
    <w:name w:val="图表头"/>
    <w:qFormat/>
    <w:uiPriority w:val="0"/>
    <w:pPr>
      <w:widowControl w:val="0"/>
      <w:adjustRightInd w:val="0"/>
      <w:spacing w:line="360" w:lineRule="auto"/>
      <w:jc w:val="center"/>
      <w:textAlignment w:val="baseline"/>
    </w:pPr>
    <w:rPr>
      <w:rFonts w:ascii="黑体" w:hAnsi="Times New Roman" w:eastAsia="黑体" w:cs="Times New Roman"/>
      <w:spacing w:val="5"/>
      <w:sz w:val="21"/>
      <w:lang w:val="en-US" w:eastAsia="zh-CN" w:bidi="ar-SA"/>
    </w:rPr>
  </w:style>
  <w:style w:type="paragraph" w:customStyle="1" w:styleId="147">
    <w:name w:val="表格 Char Char Char"/>
    <w:qFormat/>
    <w:uiPriority w:val="0"/>
    <w:pPr>
      <w:widowControl w:val="0"/>
      <w:spacing w:line="240" w:lineRule="exact"/>
      <w:jc w:val="center"/>
    </w:pPr>
    <w:rPr>
      <w:rFonts w:ascii="宋体" w:hAnsi="Times New Roman" w:eastAsia="宋体" w:cs="Times New Roman"/>
      <w:color w:val="0000FF"/>
      <w:kern w:val="2"/>
      <w:sz w:val="24"/>
      <w:lang w:val="en-US" w:eastAsia="zh-CN" w:bidi="he-IL"/>
    </w:rPr>
  </w:style>
  <w:style w:type="paragraph" w:customStyle="1" w:styleId="148">
    <w:name w:val="_Style 4"/>
    <w:qFormat/>
    <w:uiPriority w:val="1"/>
    <w:pPr>
      <w:widowControl w:val="0"/>
      <w:jc w:val="both"/>
    </w:pPr>
    <w:rPr>
      <w:rFonts w:ascii="Times New Roman" w:hAnsi="Times New Roman" w:eastAsia="仿宋_GB2312" w:cs="Times New Roman"/>
      <w:kern w:val="2"/>
      <w:sz w:val="24"/>
      <w:szCs w:val="22"/>
      <w:lang w:val="en-US" w:eastAsia="zh-CN" w:bidi="ar-SA"/>
    </w:rPr>
  </w:style>
  <w:style w:type="character" w:customStyle="1" w:styleId="149">
    <w:name w:val="font11"/>
    <w:qFormat/>
    <w:uiPriority w:val="0"/>
    <w:rPr>
      <w:rFonts w:hint="default" w:ascii="Times New Roman" w:hAnsi="Times New Roman" w:cs="Times New Roman"/>
      <w:color w:val="000000"/>
      <w:sz w:val="21"/>
      <w:szCs w:val="21"/>
      <w:u w:val="none"/>
      <w:vertAlign w:val="superscript"/>
    </w:rPr>
  </w:style>
  <w:style w:type="character" w:customStyle="1" w:styleId="150">
    <w:name w:val="font21"/>
    <w:qFormat/>
    <w:uiPriority w:val="0"/>
    <w:rPr>
      <w:rFonts w:hint="default" w:ascii="Times New Roman" w:hAnsi="Times New Roman" w:cs="Times New Roman"/>
      <w:color w:val="000000"/>
      <w:sz w:val="21"/>
      <w:szCs w:val="21"/>
      <w:u w:val="none"/>
    </w:rPr>
  </w:style>
  <w:style w:type="table" w:customStyle="1" w:styleId="151">
    <w:name w:val="网格型1"/>
    <w:basedOn w:val="46"/>
    <w:qFormat/>
    <w:uiPriority w:val="39"/>
    <w:tblPr>
      <w:tblBorders>
        <w:top w:val="double" w:color="auto" w:sz="4" w:space="0"/>
        <w:bottom w:val="double" w:color="auto" w:sz="4" w:space="0"/>
        <w:insideH w:val="single" w:color="auto" w:sz="4" w:space="0"/>
        <w:insideV w:val="single" w:color="auto" w:sz="4" w:space="0"/>
      </w:tblBorders>
    </w:tblPr>
    <w:tcPr>
      <w:vAlign w:val="center"/>
    </w:tcPr>
  </w:style>
  <w:style w:type="paragraph" w:customStyle="1" w:styleId="152">
    <w:name w:val="填表内容"/>
    <w:basedOn w:val="1"/>
    <w:qFormat/>
    <w:uiPriority w:val="0"/>
    <w:pPr>
      <w:adjustRightInd w:val="0"/>
      <w:spacing w:line="480" w:lineRule="exact"/>
      <w:ind w:firstLine="560"/>
      <w:jc w:val="left"/>
      <w:textAlignment w:val="baseline"/>
    </w:pPr>
    <w:rPr>
      <w:rFonts w:ascii="楷体_GB2312" w:eastAsia="楷体_GB2312"/>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customXml" Target="../customXml/item1.xml"/><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jpeg"/><Relationship Id="rId4" Type="http://schemas.openxmlformats.org/officeDocument/2006/relationships/endnotes" Target="endnotes.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jpe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C67EAB-628C-41E8-9282-BEADAC30A89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57</Pages>
  <Words>3922</Words>
  <Characters>22359</Characters>
  <Lines>186</Lines>
  <Paragraphs>52</Paragraphs>
  <TotalTime>11</TotalTime>
  <ScaleCrop>false</ScaleCrop>
  <LinksUpToDate>false</LinksUpToDate>
  <CharactersWithSpaces>26229</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2018-05-03T07:25:00Z</dcterms:created>
  <dc:creator>pc</dc:creator>
  <cp:lastModifiedBy>楠楠</cp:lastModifiedBy>
  <cp:lastPrinted>2020-12-26T05:32:00Z</cp:lastPrinted>
  <dcterms:modified xsi:type="dcterms:W3CDTF">2021-10-19T08:59:46Z</dcterms:modified>
  <dc:title>第一章  总则</dc:title>
  <cp:revision>12763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90646BE0BB7F477BBF9DF1B835EA2CD2</vt:lpwstr>
  </property>
</Properties>
</file>